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EE32" w14:textId="77777777" w:rsidR="00E203C2" w:rsidRPr="00932F72" w:rsidRDefault="00E203C2" w:rsidP="00E203C2">
      <w:pPr>
        <w:rPr>
          <w:lang w:val="en-AU"/>
        </w:rPr>
      </w:pPr>
      <w:r w:rsidRPr="00932F72">
        <w:rPr>
          <w:noProof/>
          <w:lang w:eastAsia="en-GB" w:bidi="ar-SA"/>
        </w:rPr>
        <w:drawing>
          <wp:inline distT="0" distB="0" distL="0" distR="0" wp14:anchorId="78ED4032" wp14:editId="40C4A53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A91E05B" w14:textId="77777777" w:rsidR="003C36C8" w:rsidRPr="003C36C8" w:rsidRDefault="003C36C8" w:rsidP="003C36C8">
      <w:pPr>
        <w:widowControl/>
        <w:rPr>
          <w:sz w:val="20"/>
          <w:lang w:bidi="ar-SA"/>
        </w:rPr>
      </w:pPr>
    </w:p>
    <w:p w14:paraId="49590E5A" w14:textId="688EE2DF" w:rsidR="002732D4" w:rsidRPr="00FE7893" w:rsidRDefault="00DD7EDC" w:rsidP="002732D4">
      <w:pPr>
        <w:rPr>
          <w:b/>
          <w:sz w:val="28"/>
          <w:szCs w:val="28"/>
        </w:rPr>
      </w:pPr>
      <w:r>
        <w:rPr>
          <w:b/>
          <w:sz w:val="28"/>
          <w:szCs w:val="28"/>
        </w:rPr>
        <w:t xml:space="preserve">20 December </w:t>
      </w:r>
      <w:r w:rsidR="00FE7893" w:rsidRPr="00FE7893">
        <w:rPr>
          <w:b/>
          <w:sz w:val="28"/>
          <w:szCs w:val="28"/>
        </w:rPr>
        <w:t>2019</w:t>
      </w:r>
    </w:p>
    <w:p w14:paraId="78885FF1" w14:textId="2F4C2BCD" w:rsidR="002732D4" w:rsidRPr="00FE7893" w:rsidRDefault="00FE7893" w:rsidP="002732D4">
      <w:pPr>
        <w:rPr>
          <w:b/>
          <w:sz w:val="28"/>
          <w:szCs w:val="28"/>
        </w:rPr>
      </w:pPr>
      <w:r w:rsidRPr="00FE7893">
        <w:rPr>
          <w:b/>
          <w:sz w:val="28"/>
          <w:szCs w:val="28"/>
        </w:rPr>
        <w:t>[</w:t>
      </w:r>
      <w:r w:rsidR="00DD7EDC">
        <w:rPr>
          <w:b/>
          <w:sz w:val="28"/>
          <w:szCs w:val="28"/>
        </w:rPr>
        <w:t>106-19</w:t>
      </w:r>
      <w:bookmarkStart w:id="0" w:name="_GoBack"/>
      <w:bookmarkEnd w:id="0"/>
      <w:r w:rsidR="002732D4" w:rsidRPr="00FE7893">
        <w:rPr>
          <w:b/>
          <w:sz w:val="28"/>
          <w:szCs w:val="28"/>
        </w:rPr>
        <w:t>]</w:t>
      </w:r>
    </w:p>
    <w:p w14:paraId="22D5AB2C" w14:textId="77777777" w:rsidR="00A21820" w:rsidRPr="008D5F33" w:rsidRDefault="00A21820" w:rsidP="00A21820">
      <w:pPr>
        <w:pStyle w:val="FSTitle"/>
        <w:rPr>
          <w:b/>
          <w:sz w:val="22"/>
        </w:rPr>
      </w:pPr>
    </w:p>
    <w:p w14:paraId="7A146BF5" w14:textId="77777777" w:rsidR="00A21820" w:rsidRPr="00A21820" w:rsidRDefault="00A21820" w:rsidP="00A21820">
      <w:pPr>
        <w:pStyle w:val="FSTitle"/>
        <w:rPr>
          <w:b/>
        </w:rPr>
      </w:pPr>
      <w:r w:rsidRPr="005B7A73">
        <w:rPr>
          <w:b/>
        </w:rPr>
        <w:t xml:space="preserve">Supporting document </w:t>
      </w:r>
      <w:r w:rsidRPr="00A21820">
        <w:rPr>
          <w:b/>
        </w:rPr>
        <w:t>2</w:t>
      </w:r>
    </w:p>
    <w:p w14:paraId="7C7E7FF3" w14:textId="77777777" w:rsidR="00A21820" w:rsidRPr="00A21820" w:rsidRDefault="00A21820" w:rsidP="00A21820"/>
    <w:p w14:paraId="22EC7E3A" w14:textId="1BA74132" w:rsidR="005C4FD8" w:rsidRDefault="00A21820" w:rsidP="00A21820">
      <w:pPr>
        <w:pStyle w:val="FSTitle"/>
      </w:pPr>
      <w:r w:rsidRPr="00A21820">
        <w:t xml:space="preserve">Assessment against Ministerial Policy Guidelines </w:t>
      </w:r>
      <w:r w:rsidR="005C4FD8">
        <w:t xml:space="preserve">(at Approval) </w:t>
      </w:r>
    </w:p>
    <w:p w14:paraId="5BDB79DA" w14:textId="77777777" w:rsidR="005C4FD8" w:rsidRDefault="005C4FD8" w:rsidP="00A21820">
      <w:pPr>
        <w:pStyle w:val="FSTitle"/>
      </w:pPr>
    </w:p>
    <w:p w14:paraId="7CB53A10" w14:textId="6A1A82CB" w:rsidR="00937CB7" w:rsidRPr="00E503FF" w:rsidRDefault="00A21820" w:rsidP="00937CB7">
      <w:pPr>
        <w:pStyle w:val="FSTitle"/>
        <w:rPr>
          <w:lang w:val="en-AU"/>
        </w:rPr>
      </w:pPr>
      <w:r w:rsidRPr="00A21820">
        <w:t>Application A1155</w:t>
      </w:r>
      <w:r w:rsidR="005C4FD8">
        <w:t xml:space="preserve"> - </w:t>
      </w:r>
      <w:r w:rsidR="00937CB7">
        <w:rPr>
          <w:rFonts w:cs="Segoe UI"/>
          <w:color w:val="262626"/>
          <w:lang w:val="en-AU"/>
        </w:rPr>
        <w:t>2</w:t>
      </w:r>
      <w:r w:rsidR="005D4C6E">
        <w:rPr>
          <w:rFonts w:cs="Segoe UI"/>
          <w:color w:val="262626"/>
          <w:lang w:val="en-AU"/>
        </w:rPr>
        <w:t>′</w:t>
      </w:r>
      <w:r w:rsidR="00937CB7">
        <w:rPr>
          <w:rFonts w:cs="Segoe UI"/>
          <w:color w:val="262626"/>
          <w:lang w:val="en-AU"/>
        </w:rPr>
        <w:t>-FL and LNnT in infant formula and other products</w:t>
      </w:r>
    </w:p>
    <w:p w14:paraId="4F8170AC" w14:textId="77777777" w:rsidR="00E203C2" w:rsidRPr="00932F72" w:rsidRDefault="00E203C2" w:rsidP="00E203C2">
      <w:pPr>
        <w:pBdr>
          <w:bottom w:val="single" w:sz="12" w:space="1" w:color="auto"/>
        </w:pBdr>
        <w:spacing w:line="280" w:lineRule="exact"/>
        <w:rPr>
          <w:rFonts w:cs="Arial"/>
          <w:bCs/>
          <w:lang w:val="en-AU"/>
        </w:rPr>
      </w:pPr>
    </w:p>
    <w:p w14:paraId="33CC4FE0" w14:textId="77777777" w:rsidR="000A1AF4" w:rsidRDefault="000A1AF4" w:rsidP="000A1AF4">
      <w:pPr>
        <w:rPr>
          <w:lang w:val="en-AU"/>
        </w:rPr>
      </w:pPr>
      <w:bookmarkStart w:id="1" w:name="_Toc338769349"/>
    </w:p>
    <w:p w14:paraId="4021129A" w14:textId="77777777" w:rsidR="00D521C6" w:rsidRDefault="000F5D35" w:rsidP="000A1AF4">
      <w:r>
        <w:t xml:space="preserve">FSANZ has had regard to two </w:t>
      </w:r>
      <w:r w:rsidR="00F73381">
        <w:t>Ministerial Policy G</w:t>
      </w:r>
      <w:r w:rsidR="002732D4">
        <w:t>uidelines relevant to a</w:t>
      </w:r>
      <w:r w:rsidR="00D521C6">
        <w:t>pplication A1155, as required under subsection 18(2) of the FSANZ Act:</w:t>
      </w:r>
    </w:p>
    <w:p w14:paraId="4FD369B2" w14:textId="77777777" w:rsidR="000A1AF4" w:rsidRDefault="000A1AF4" w:rsidP="000A1AF4">
      <w:r w:rsidRPr="00203E26">
        <w:t xml:space="preserve"> </w:t>
      </w:r>
    </w:p>
    <w:p w14:paraId="7C8AC400" w14:textId="77777777" w:rsidR="000A1AF4" w:rsidRPr="00E84BB6" w:rsidRDefault="000A1AF4" w:rsidP="000A1AF4">
      <w:pPr>
        <w:pStyle w:val="ListParagraph"/>
        <w:numPr>
          <w:ilvl w:val="0"/>
          <w:numId w:val="13"/>
        </w:numPr>
        <w:rPr>
          <w:rFonts w:eastAsia="Times New Roman" w:cs="Arial"/>
          <w:szCs w:val="24"/>
        </w:rPr>
      </w:pPr>
      <w:r>
        <w:rPr>
          <w:rFonts w:eastAsia="Times New Roman" w:cs="Arial"/>
          <w:szCs w:val="24"/>
        </w:rPr>
        <w:t>Regulation of Infant Formula Products</w:t>
      </w:r>
    </w:p>
    <w:p w14:paraId="728E3B3E" w14:textId="77777777" w:rsidR="000A1AF4" w:rsidRDefault="00F85EAC" w:rsidP="000A1AF4">
      <w:pPr>
        <w:pStyle w:val="ListParagraph"/>
        <w:numPr>
          <w:ilvl w:val="0"/>
          <w:numId w:val="13"/>
        </w:numPr>
        <w:rPr>
          <w:rFonts w:eastAsia="Times New Roman" w:cs="Arial"/>
          <w:szCs w:val="24"/>
        </w:rPr>
      </w:pPr>
      <w:r>
        <w:rPr>
          <w:rFonts w:eastAsia="Times New Roman" w:cs="Arial"/>
          <w:szCs w:val="24"/>
        </w:rPr>
        <w:t>I</w:t>
      </w:r>
      <w:r w:rsidR="000A1AF4">
        <w:rPr>
          <w:rFonts w:eastAsia="Times New Roman" w:cs="Arial"/>
          <w:szCs w:val="24"/>
        </w:rPr>
        <w:t>ntent of Part 2</w:t>
      </w:r>
      <w:r w:rsidR="00F73381">
        <w:rPr>
          <w:rFonts w:eastAsia="Times New Roman" w:cs="Arial"/>
          <w:szCs w:val="24"/>
        </w:rPr>
        <w:t>.9 - Special Purpose Foods</w:t>
      </w:r>
    </w:p>
    <w:p w14:paraId="5583B47B" w14:textId="77777777" w:rsidR="000A1AF4" w:rsidRPr="007122F1" w:rsidRDefault="000A1AF4" w:rsidP="000A1AF4"/>
    <w:p w14:paraId="38AFAF5F" w14:textId="77777777" w:rsidR="000A1AF4" w:rsidRPr="002732D4" w:rsidRDefault="00F378E0" w:rsidP="000A1AF4">
      <w:pPr>
        <w:rPr>
          <w:lang w:val="en-AU"/>
        </w:rPr>
      </w:pPr>
      <w:r>
        <w:t>The tables</w:t>
      </w:r>
      <w:r w:rsidR="00F85EAC">
        <w:t xml:space="preserve"> below summarise our assessment against</w:t>
      </w:r>
      <w:r w:rsidR="000A1AF4">
        <w:t xml:space="preserve"> the specific pol</w:t>
      </w:r>
      <w:r w:rsidR="005647B6">
        <w:t>icy principles of t</w:t>
      </w:r>
      <w:r w:rsidR="00F85EAC">
        <w:t xml:space="preserve">hese </w:t>
      </w:r>
      <w:r w:rsidR="000A1AF4">
        <w:t>policy guideline</w:t>
      </w:r>
      <w:r w:rsidR="00F85EAC">
        <w:t>s</w:t>
      </w:r>
      <w:r w:rsidR="000A1AF4">
        <w:t>.</w:t>
      </w:r>
      <w:r w:rsidR="002732D4">
        <w:t xml:space="preserve"> </w:t>
      </w:r>
      <w:r w:rsidR="00506490" w:rsidRPr="00402636">
        <w:t>T</w:t>
      </w:r>
      <w:r w:rsidR="00506490" w:rsidRPr="00402636">
        <w:rPr>
          <w:lang w:val="en-AU"/>
        </w:rPr>
        <w:t xml:space="preserve">he tables have been revised since the </w:t>
      </w:r>
      <w:r w:rsidR="00A812B8">
        <w:rPr>
          <w:lang w:val="en-AU"/>
        </w:rPr>
        <w:t>2</w:t>
      </w:r>
      <w:r w:rsidR="00A812B8" w:rsidRPr="00A812B8">
        <w:rPr>
          <w:vertAlign w:val="superscript"/>
          <w:lang w:val="en-AU"/>
        </w:rPr>
        <w:t>nd</w:t>
      </w:r>
      <w:r w:rsidR="00A812B8">
        <w:rPr>
          <w:lang w:val="en-AU"/>
        </w:rPr>
        <w:t xml:space="preserve"> </w:t>
      </w:r>
      <w:r w:rsidR="00CF68B1">
        <w:rPr>
          <w:lang w:val="en-AU"/>
        </w:rPr>
        <w:t>Call for S</w:t>
      </w:r>
      <w:r w:rsidR="00506490" w:rsidRPr="00402636">
        <w:rPr>
          <w:lang w:val="en-AU"/>
        </w:rPr>
        <w:t>ubmissions (CFS), f</w:t>
      </w:r>
      <w:r w:rsidR="002732D4" w:rsidRPr="00402636">
        <w:rPr>
          <w:lang w:val="en-AU"/>
        </w:rPr>
        <w:t>ollowing consideration of submis</w:t>
      </w:r>
      <w:r w:rsidR="00506490" w:rsidRPr="00402636">
        <w:rPr>
          <w:lang w:val="en-AU"/>
        </w:rPr>
        <w:t>sions and targeted consultation</w:t>
      </w:r>
      <w:r w:rsidR="002732D4" w:rsidRPr="00402636">
        <w:rPr>
          <w:lang w:val="en-AU"/>
        </w:rPr>
        <w:t>.</w:t>
      </w:r>
    </w:p>
    <w:p w14:paraId="46E79D70" w14:textId="77777777" w:rsidR="008C258E" w:rsidRPr="00932F72" w:rsidRDefault="008059A0" w:rsidP="00F86EEB">
      <w:pPr>
        <w:pStyle w:val="Heading1"/>
      </w:pPr>
      <w:r w:rsidRPr="00932F72">
        <w:rPr>
          <w:lang w:val="en-AU"/>
        </w:rPr>
        <w:t>1</w:t>
      </w:r>
      <w:r w:rsidRPr="00932F72">
        <w:rPr>
          <w:lang w:val="en-AU"/>
        </w:rPr>
        <w:tab/>
      </w:r>
      <w:r w:rsidR="008C258E" w:rsidRPr="00932F72">
        <w:rPr>
          <w:lang w:val="en-AU"/>
        </w:rPr>
        <w:t>Regulation of Infant Formula Products</w:t>
      </w:r>
      <w:bookmarkEnd w:id="1"/>
    </w:p>
    <w:p w14:paraId="3E8FA7EE" w14:textId="77777777" w:rsidR="00185417" w:rsidRDefault="00043A08" w:rsidP="00F86EEB">
      <w:pPr>
        <w:rPr>
          <w:lang w:val="en-AU"/>
        </w:rPr>
      </w:pPr>
      <w:r>
        <w:rPr>
          <w:lang w:val="en-AU"/>
        </w:rPr>
        <w:t xml:space="preserve">In reaching our decision </w:t>
      </w:r>
      <w:r w:rsidR="00F73381" w:rsidRPr="00932F72">
        <w:rPr>
          <w:lang w:val="en-AU"/>
        </w:rPr>
        <w:t xml:space="preserve">FSANZ has had regard to the </w:t>
      </w:r>
      <w:r w:rsidR="006F4E5E">
        <w:rPr>
          <w:lang w:val="en-AU"/>
        </w:rPr>
        <w:t>policy guideline</w:t>
      </w:r>
      <w:r w:rsidR="00F73381" w:rsidRPr="00932F72">
        <w:rPr>
          <w:lang w:val="en-AU"/>
        </w:rPr>
        <w:t xml:space="preserve"> on the </w:t>
      </w:r>
      <w:r w:rsidR="00F73381" w:rsidRPr="00F73381">
        <w:rPr>
          <w:lang w:val="en-AU"/>
        </w:rPr>
        <w:t>Regula</w:t>
      </w:r>
      <w:r w:rsidR="00F73381">
        <w:rPr>
          <w:lang w:val="en-AU"/>
        </w:rPr>
        <w:t>tion of Infant Formula Products</w:t>
      </w:r>
      <w:r>
        <w:rPr>
          <w:lang w:val="en-AU"/>
        </w:rPr>
        <w:t>.</w:t>
      </w:r>
      <w:r w:rsidR="00F73381" w:rsidRPr="00932F72">
        <w:rPr>
          <w:lang w:val="en-AU"/>
        </w:rPr>
        <w:t xml:space="preserve"> The table below summarises our assessment </w:t>
      </w:r>
      <w:r w:rsidR="00F73381">
        <w:rPr>
          <w:lang w:val="en-AU"/>
        </w:rPr>
        <w:t>against</w:t>
      </w:r>
      <w:r w:rsidR="00F73381" w:rsidRPr="00932F72">
        <w:rPr>
          <w:lang w:val="en-AU"/>
        </w:rPr>
        <w:t xml:space="preserve"> t</w:t>
      </w:r>
      <w:r w:rsidR="00F73381">
        <w:rPr>
          <w:lang w:val="en-AU"/>
        </w:rPr>
        <w:t>he specific policy principles</w:t>
      </w:r>
      <w:r>
        <w:rPr>
          <w:lang w:val="en-AU"/>
        </w:rPr>
        <w:t xml:space="preserve"> (not in alphabetical order)</w:t>
      </w:r>
      <w:r w:rsidR="006F4E5E">
        <w:rPr>
          <w:lang w:val="en-AU"/>
        </w:rPr>
        <w:t xml:space="preserve"> </w:t>
      </w:r>
      <w:r w:rsidR="00A82D70">
        <w:rPr>
          <w:lang w:val="en-AU"/>
        </w:rPr>
        <w:t>for</w:t>
      </w:r>
      <w:r w:rsidR="001B6430">
        <w:rPr>
          <w:lang w:val="en-AU"/>
        </w:rPr>
        <w:t xml:space="preserve"> the</w:t>
      </w:r>
      <w:r w:rsidR="006F4E5E">
        <w:rPr>
          <w:lang w:val="en-AU"/>
        </w:rPr>
        <w:t xml:space="preserve"> </w:t>
      </w:r>
      <w:r w:rsidR="00944DE8">
        <w:rPr>
          <w:lang w:val="en-AU"/>
        </w:rPr>
        <w:t xml:space="preserve">proposed </w:t>
      </w:r>
      <w:r w:rsidR="00294E47">
        <w:rPr>
          <w:lang w:val="en-AU"/>
        </w:rPr>
        <w:t>addition</w:t>
      </w:r>
      <w:r w:rsidR="006F4E5E">
        <w:rPr>
          <w:lang w:val="en-AU"/>
        </w:rPr>
        <w:t xml:space="preserve"> of 2</w:t>
      </w:r>
      <w:r w:rsidR="005D4C6E">
        <w:rPr>
          <w:lang w:val="en-AU"/>
        </w:rPr>
        <w:t>′</w:t>
      </w:r>
      <w:r w:rsidR="006F4E5E">
        <w:rPr>
          <w:lang w:val="en-AU"/>
        </w:rPr>
        <w:t xml:space="preserve">-FL </w:t>
      </w:r>
      <w:r w:rsidR="00A82D70">
        <w:rPr>
          <w:lang w:val="en-AU"/>
        </w:rPr>
        <w:t xml:space="preserve">alone </w:t>
      </w:r>
      <w:r w:rsidR="0049573E">
        <w:rPr>
          <w:lang w:val="en-AU"/>
        </w:rPr>
        <w:t>and in combination with</w:t>
      </w:r>
      <w:r w:rsidR="00294E47">
        <w:rPr>
          <w:lang w:val="en-AU"/>
        </w:rPr>
        <w:t xml:space="preserve"> LNnT to</w:t>
      </w:r>
      <w:r w:rsidR="006F4E5E">
        <w:rPr>
          <w:lang w:val="en-AU"/>
        </w:rPr>
        <w:t xml:space="preserve"> infant formula products</w:t>
      </w:r>
      <w:r w:rsidR="000108DB">
        <w:rPr>
          <w:lang w:val="en-AU"/>
        </w:rPr>
        <w:t xml:space="preserve"> (includes infant formula, follow-on formula and infant formula for special dietary use)</w:t>
      </w:r>
      <w:r w:rsidR="00185417">
        <w:rPr>
          <w:lang w:val="en-AU"/>
        </w:rPr>
        <w:t>.</w:t>
      </w:r>
      <w:r w:rsidR="002732D4">
        <w:rPr>
          <w:lang w:val="en-AU"/>
        </w:rPr>
        <w:t xml:space="preserve"> </w:t>
      </w:r>
    </w:p>
    <w:p w14:paraId="282A31ED" w14:textId="77777777" w:rsidR="00185417" w:rsidRDefault="00185417">
      <w:pPr>
        <w:widowControl/>
        <w:rPr>
          <w:lang w:val="en-AU"/>
        </w:rPr>
      </w:pPr>
      <w:r>
        <w:rPr>
          <w:lang w:val="en-AU"/>
        </w:rPr>
        <w:br w:type="page"/>
      </w:r>
    </w:p>
    <w:tbl>
      <w:tblPr>
        <w:tblStyle w:val="TableGrid"/>
        <w:tblW w:w="5004" w:type="pct"/>
        <w:tblLook w:val="04A0" w:firstRow="1" w:lastRow="0" w:firstColumn="1" w:lastColumn="0" w:noHBand="0" w:noVBand="1"/>
        <w:tblDescription w:val="This table summarises FSANZ's assessment of the application against the specific policy principles of the Ministerial Policy Guideline on the Regulation of Infant formula Products. "/>
      </w:tblPr>
      <w:tblGrid>
        <w:gridCol w:w="5240"/>
        <w:gridCol w:w="8763"/>
      </w:tblGrid>
      <w:tr w:rsidR="00A82D70" w:rsidRPr="00932F72" w14:paraId="1FDA4734" w14:textId="77777777" w:rsidTr="002333A6">
        <w:trPr>
          <w:tblHeader/>
        </w:trPr>
        <w:tc>
          <w:tcPr>
            <w:tcW w:w="1871" w:type="pct"/>
            <w:shd w:val="clear" w:color="auto" w:fill="D6E3BC" w:themeFill="accent3" w:themeFillTint="66"/>
          </w:tcPr>
          <w:p w14:paraId="75CA0A1D" w14:textId="77777777" w:rsidR="00A82D70" w:rsidRPr="00932F72" w:rsidRDefault="00A82D70" w:rsidP="009317D2">
            <w:pPr>
              <w:spacing w:before="120"/>
              <w:rPr>
                <w:rFonts w:cs="Arial"/>
                <w:b/>
                <w:lang w:val="en-AU"/>
              </w:rPr>
            </w:pPr>
            <w:r w:rsidRPr="00932F72">
              <w:rPr>
                <w:rFonts w:cs="Arial"/>
                <w:b/>
                <w:lang w:val="en-AU"/>
              </w:rPr>
              <w:lastRenderedPageBreak/>
              <w:t>Specific Policy Principles</w:t>
            </w:r>
            <w:r w:rsidR="00462A1C">
              <w:rPr>
                <w:rFonts w:cs="Arial"/>
                <w:b/>
                <w:lang w:val="en-AU"/>
              </w:rPr>
              <w:t xml:space="preserve"> </w:t>
            </w:r>
          </w:p>
        </w:tc>
        <w:tc>
          <w:tcPr>
            <w:tcW w:w="3129" w:type="pct"/>
            <w:shd w:val="clear" w:color="auto" w:fill="D6E3BC" w:themeFill="accent3" w:themeFillTint="66"/>
          </w:tcPr>
          <w:p w14:paraId="62F30381" w14:textId="77777777" w:rsidR="00A82D70" w:rsidRPr="00932F72" w:rsidRDefault="00A82D70" w:rsidP="003001A8">
            <w:pPr>
              <w:spacing w:before="120" w:after="120"/>
              <w:rPr>
                <w:rFonts w:cs="Arial"/>
                <w:b/>
                <w:lang w:val="en-AU"/>
              </w:rPr>
            </w:pPr>
            <w:r>
              <w:rPr>
                <w:rFonts w:cs="Arial"/>
                <w:b/>
                <w:lang w:val="en-AU"/>
              </w:rPr>
              <w:t>Assessment</w:t>
            </w:r>
          </w:p>
        </w:tc>
      </w:tr>
      <w:tr w:rsidR="00A82D70" w:rsidRPr="00932F72" w14:paraId="21377C2C" w14:textId="77777777" w:rsidTr="002333A6">
        <w:tc>
          <w:tcPr>
            <w:tcW w:w="1871" w:type="pct"/>
            <w:vAlign w:val="center"/>
          </w:tcPr>
          <w:p w14:paraId="13EA597B" w14:textId="77777777" w:rsidR="00A82D70" w:rsidRPr="00F86EEB" w:rsidRDefault="00A82D70" w:rsidP="00A812B8">
            <w:pPr>
              <w:rPr>
                <w:rFonts w:cs="Arial"/>
                <w:b/>
                <w:sz w:val="20"/>
                <w:lang w:val="en-AU"/>
              </w:rPr>
            </w:pPr>
            <w:r w:rsidRPr="00F86EEB">
              <w:rPr>
                <w:rFonts w:cs="Arial"/>
                <w:sz w:val="20"/>
                <w:lang w:val="en-AU"/>
              </w:rPr>
              <w:t>(a) The regulation of infant formula products should recognise that breastfeeding is the normal and recommended way to feed an infant.</w:t>
            </w:r>
          </w:p>
        </w:tc>
        <w:tc>
          <w:tcPr>
            <w:tcW w:w="3129" w:type="pct"/>
            <w:vAlign w:val="center"/>
          </w:tcPr>
          <w:p w14:paraId="20777104" w14:textId="77777777" w:rsidR="00A82D70" w:rsidRPr="0049573E" w:rsidRDefault="00A82D70" w:rsidP="00A812B8">
            <w:pPr>
              <w:spacing w:after="120"/>
              <w:rPr>
                <w:rFonts w:cs="Arial"/>
                <w:sz w:val="20"/>
                <w:lang w:val="en-AU"/>
              </w:rPr>
            </w:pPr>
            <w:r>
              <w:rPr>
                <w:rFonts w:cs="Arial"/>
                <w:sz w:val="20"/>
                <w:lang w:val="en-AU"/>
              </w:rPr>
              <w:t xml:space="preserve">FSANZ acknowledges </w:t>
            </w:r>
            <w:r w:rsidRPr="0049573E">
              <w:rPr>
                <w:rFonts w:cs="Arial"/>
                <w:sz w:val="20"/>
                <w:lang w:val="en-AU"/>
              </w:rPr>
              <w:t>that breastfeeding is the recommended way to feed an infant.</w:t>
            </w:r>
          </w:p>
        </w:tc>
      </w:tr>
      <w:tr w:rsidR="00A82D70" w:rsidRPr="00932F72" w14:paraId="64E919E9" w14:textId="77777777" w:rsidTr="002333A6">
        <w:tc>
          <w:tcPr>
            <w:tcW w:w="1871" w:type="pct"/>
            <w:vAlign w:val="center"/>
          </w:tcPr>
          <w:p w14:paraId="68A37607" w14:textId="77777777" w:rsidR="00A82D70" w:rsidRPr="00F86EEB" w:rsidRDefault="00A82D70" w:rsidP="00A812B8">
            <w:pPr>
              <w:rPr>
                <w:rFonts w:cs="Arial"/>
                <w:sz w:val="20"/>
                <w:lang w:val="en-AU"/>
              </w:rPr>
            </w:pPr>
            <w:r w:rsidRPr="00F86EEB">
              <w:rPr>
                <w:rFonts w:cs="Arial"/>
                <w:sz w:val="20"/>
                <w:lang w:val="en-AU"/>
              </w:rPr>
              <w:t>(b) The regulation of infant formula products should not be inconsistent with the national nutrition policies and guidelines of Australia and New Zealand that are relevant to infant feeding.</w:t>
            </w:r>
          </w:p>
        </w:tc>
        <w:tc>
          <w:tcPr>
            <w:tcW w:w="3129" w:type="pct"/>
            <w:vAlign w:val="center"/>
          </w:tcPr>
          <w:p w14:paraId="61F3E6C6" w14:textId="77777777" w:rsidR="00A82D70" w:rsidRPr="00F86EEB" w:rsidRDefault="00A82D70" w:rsidP="00A812B8">
            <w:pPr>
              <w:spacing w:after="120"/>
              <w:rPr>
                <w:rFonts w:cs="Arial"/>
                <w:sz w:val="20"/>
                <w:lang w:val="en-AU"/>
              </w:rPr>
            </w:pPr>
            <w:r w:rsidRPr="00A82D70">
              <w:rPr>
                <w:rFonts w:cs="Arial"/>
                <w:sz w:val="20"/>
                <w:lang w:val="en-AU"/>
              </w:rPr>
              <w:t xml:space="preserve">The proposed </w:t>
            </w:r>
            <w:r w:rsidR="00113A1C">
              <w:rPr>
                <w:rFonts w:cs="Arial"/>
                <w:sz w:val="20"/>
                <w:lang w:val="en-AU"/>
              </w:rPr>
              <w:t>voluntary addition of 2</w:t>
            </w:r>
            <w:r w:rsidR="005D4C6E">
              <w:rPr>
                <w:rFonts w:cs="Arial"/>
                <w:sz w:val="20"/>
                <w:lang w:val="en-AU"/>
              </w:rPr>
              <w:t>′</w:t>
            </w:r>
            <w:r w:rsidR="00113A1C">
              <w:rPr>
                <w:rFonts w:cs="Arial"/>
                <w:sz w:val="20"/>
                <w:lang w:val="en-AU"/>
              </w:rPr>
              <w:t>-FL and LNnT</w:t>
            </w:r>
            <w:r w:rsidRPr="00A82D70">
              <w:rPr>
                <w:rFonts w:cs="Arial"/>
                <w:sz w:val="20"/>
                <w:lang w:val="en-AU"/>
              </w:rPr>
              <w:t xml:space="preserve"> is not inconsistent with current national nutrition polices and guidelines for infant feeding.</w:t>
            </w:r>
            <w:r w:rsidRPr="00F86EEB">
              <w:rPr>
                <w:rFonts w:cs="Arial"/>
                <w:sz w:val="20"/>
                <w:lang w:val="en-AU"/>
              </w:rPr>
              <w:t xml:space="preserve"> </w:t>
            </w:r>
          </w:p>
        </w:tc>
      </w:tr>
      <w:tr w:rsidR="009317D2" w:rsidRPr="00932F72" w14:paraId="194F5CCA" w14:textId="77777777" w:rsidTr="002333A6">
        <w:tc>
          <w:tcPr>
            <w:tcW w:w="1871" w:type="pct"/>
          </w:tcPr>
          <w:p w14:paraId="5D93F3A2" w14:textId="77777777" w:rsidR="009317D2" w:rsidRPr="00086F81" w:rsidRDefault="009317D2" w:rsidP="009317D2">
            <w:pPr>
              <w:rPr>
                <w:rFonts w:cs="Arial"/>
                <w:sz w:val="20"/>
                <w:lang w:val="en-AU"/>
              </w:rPr>
            </w:pPr>
            <w:r w:rsidRPr="00F86EEB">
              <w:rPr>
                <w:rFonts w:cs="Arial"/>
                <w:sz w:val="20"/>
                <w:lang w:val="en-AU"/>
              </w:rPr>
              <w:t>(h) The composition of breast milk should be used as a primary reference for determining the composition of infant formula and follow-on formula.</w:t>
            </w:r>
          </w:p>
        </w:tc>
        <w:tc>
          <w:tcPr>
            <w:tcW w:w="3129" w:type="pct"/>
          </w:tcPr>
          <w:p w14:paraId="7BFD3712" w14:textId="25D571C9" w:rsidR="009317D2" w:rsidRPr="00E503FF" w:rsidRDefault="003F11F3" w:rsidP="009317D2">
            <w:pPr>
              <w:spacing w:after="120"/>
              <w:rPr>
                <w:sz w:val="20"/>
                <w:lang w:val="en-AU" w:bidi="ar-SA"/>
              </w:rPr>
            </w:pPr>
            <w:r>
              <w:rPr>
                <w:sz w:val="20"/>
                <w:lang w:val="en-AU" w:bidi="ar-SA"/>
              </w:rPr>
              <w:t>T</w:t>
            </w:r>
            <w:r w:rsidR="009317D2">
              <w:rPr>
                <w:sz w:val="20"/>
                <w:lang w:val="en-AU" w:bidi="ar-SA"/>
              </w:rPr>
              <w:t xml:space="preserve">he composition of breast milk </w:t>
            </w:r>
            <w:r>
              <w:rPr>
                <w:sz w:val="20"/>
                <w:lang w:val="en-AU" w:bidi="ar-SA"/>
              </w:rPr>
              <w:t>w</w:t>
            </w:r>
            <w:r w:rsidR="009317D2">
              <w:rPr>
                <w:sz w:val="20"/>
                <w:lang w:val="en-AU" w:bidi="ar-SA"/>
              </w:rPr>
              <w:t>as a primary reference for determining the compositional limits.</w:t>
            </w:r>
            <w:r>
              <w:rPr>
                <w:sz w:val="20"/>
                <w:lang w:val="en-AU" w:bidi="ar-SA"/>
              </w:rPr>
              <w:t xml:space="preserve"> Oligosaccharides make up a large component of the carbohydrate content of breast milk. </w:t>
            </w:r>
            <w:r w:rsidR="009317D2" w:rsidRPr="00086F81">
              <w:rPr>
                <w:rFonts w:cs="Arial"/>
                <w:sz w:val="20"/>
                <w:lang w:val="en-AU"/>
              </w:rPr>
              <w:t>2′-FL is secreted by the majority of women worldwide</w:t>
            </w:r>
            <w:r w:rsidR="009317D2">
              <w:rPr>
                <w:rFonts w:cs="Arial"/>
                <w:sz w:val="20"/>
                <w:lang w:val="en-AU"/>
              </w:rPr>
              <w:t xml:space="preserve"> and </w:t>
            </w:r>
            <w:r w:rsidR="009317D2" w:rsidRPr="00F63F03">
              <w:rPr>
                <w:rFonts w:cs="Arial"/>
                <w:sz w:val="20"/>
                <w:lang w:val="en-AU"/>
              </w:rPr>
              <w:t>LNnT is always present in human milk</w:t>
            </w:r>
            <w:r w:rsidR="009317D2">
              <w:rPr>
                <w:rFonts w:cs="Arial"/>
                <w:sz w:val="20"/>
                <w:lang w:val="en-AU"/>
              </w:rPr>
              <w:t>.</w:t>
            </w:r>
            <w:r w:rsidR="009317D2" w:rsidRPr="00F63F03">
              <w:rPr>
                <w:rFonts w:cs="Arial"/>
                <w:sz w:val="20"/>
                <w:lang w:val="en-AU"/>
              </w:rPr>
              <w:t xml:space="preserve"> </w:t>
            </w:r>
            <w:r w:rsidR="009317D2">
              <w:rPr>
                <w:sz w:val="20"/>
                <w:lang w:val="en-AU" w:bidi="ar-SA"/>
              </w:rPr>
              <w:t xml:space="preserve">The natural occurrence of 2′-FL and LNnT in human milk was examined (see SD1) noting the range of concentrations present in mature human milk are 1.0 – 3.6 g/L </w:t>
            </w:r>
            <w:r w:rsidR="009317D2" w:rsidRPr="00E00DF0">
              <w:rPr>
                <w:sz w:val="20"/>
                <w:lang w:val="en-AU" w:bidi="ar-SA"/>
              </w:rPr>
              <w:t xml:space="preserve">for 2’FL and </w:t>
            </w:r>
            <w:r w:rsidR="009317D2">
              <w:rPr>
                <w:sz w:val="20"/>
                <w:lang w:val="en-AU" w:bidi="ar-SA"/>
              </w:rPr>
              <w:t>0.04 – 1.08 g/L for LNn</w:t>
            </w:r>
            <w:r w:rsidR="009317D2" w:rsidRPr="00E00DF0">
              <w:rPr>
                <w:sz w:val="20"/>
                <w:lang w:val="en-AU" w:bidi="ar-SA"/>
              </w:rPr>
              <w:t>T.</w:t>
            </w:r>
            <w:r w:rsidR="009317D2">
              <w:rPr>
                <w:color w:val="FF0000"/>
                <w:sz w:val="20"/>
                <w:lang w:val="en-AU" w:bidi="ar-SA"/>
              </w:rPr>
              <w:t xml:space="preserve"> </w:t>
            </w:r>
          </w:p>
          <w:p w14:paraId="3C36B1CA" w14:textId="07C0BC4A" w:rsidR="009317D2" w:rsidRPr="007F1EA4" w:rsidRDefault="009317D2" w:rsidP="00BC29F0">
            <w:pPr>
              <w:spacing w:after="120"/>
              <w:rPr>
                <w:sz w:val="20"/>
                <w:lang w:val="en-AU" w:bidi="ar-SA"/>
              </w:rPr>
            </w:pPr>
            <w:r w:rsidRPr="007F1EA4">
              <w:rPr>
                <w:sz w:val="20"/>
                <w:lang w:val="en-AU" w:bidi="ar-SA"/>
              </w:rPr>
              <w:t xml:space="preserve">For comparison, </w:t>
            </w:r>
            <w:r>
              <w:rPr>
                <w:sz w:val="20"/>
                <w:lang w:val="en-AU" w:bidi="ar-SA"/>
              </w:rPr>
              <w:t xml:space="preserve">the proposed maximum for 2 ‘FL alone or in combination with </w:t>
            </w:r>
            <w:r w:rsidR="00BC29F0">
              <w:rPr>
                <w:sz w:val="20"/>
                <w:lang w:val="en-AU" w:bidi="ar-SA"/>
              </w:rPr>
              <w:t xml:space="preserve">LNnT </w:t>
            </w:r>
            <w:r>
              <w:rPr>
                <w:sz w:val="20"/>
                <w:lang w:val="en-AU" w:bidi="ar-SA"/>
              </w:rPr>
              <w:t xml:space="preserve">is 2.4 g/L </w:t>
            </w:r>
            <w:r w:rsidRPr="00E00DF0">
              <w:rPr>
                <w:sz w:val="20"/>
                <w:lang w:val="en-AU" w:bidi="ar-SA"/>
              </w:rPr>
              <w:t xml:space="preserve">which is considerably lower than </w:t>
            </w:r>
            <w:r>
              <w:rPr>
                <w:sz w:val="20"/>
                <w:lang w:val="en-AU" w:bidi="ar-SA"/>
              </w:rPr>
              <w:t xml:space="preserve">levels in human milk and previously approved maximums for </w:t>
            </w:r>
            <w:r w:rsidRPr="007F1EA4">
              <w:rPr>
                <w:rFonts w:cs="Arial"/>
                <w:sz w:val="20"/>
                <w:lang w:val="en-AU"/>
              </w:rPr>
              <w:t>galacto-oligosaccharides (GOS) and inulin-type fructans (ITF)</w:t>
            </w:r>
            <w:r>
              <w:rPr>
                <w:rFonts w:cs="Arial"/>
                <w:sz w:val="20"/>
                <w:lang w:val="en-AU"/>
              </w:rPr>
              <w:t>. These latter oligosaccharides contrast with 2’ Fl and LNnT because they a</w:t>
            </w:r>
            <w:r w:rsidRPr="007F1EA4">
              <w:rPr>
                <w:rFonts w:cs="Arial"/>
                <w:sz w:val="20"/>
                <w:lang w:val="en-AU"/>
              </w:rPr>
              <w:t>re not present in human milk or only present in trace amounts.</w:t>
            </w:r>
          </w:p>
        </w:tc>
      </w:tr>
      <w:tr w:rsidR="009317D2" w:rsidRPr="00932F72" w14:paraId="3793E6E5" w14:textId="77777777" w:rsidTr="002333A6">
        <w:tc>
          <w:tcPr>
            <w:tcW w:w="1871" w:type="pct"/>
            <w:vAlign w:val="center"/>
          </w:tcPr>
          <w:p w14:paraId="14A77306" w14:textId="77777777" w:rsidR="009317D2" w:rsidRPr="00086F81" w:rsidRDefault="009317D2" w:rsidP="009317D2">
            <w:pPr>
              <w:rPr>
                <w:rFonts w:cs="Arial"/>
                <w:b/>
                <w:sz w:val="20"/>
                <w:lang w:val="en-AU"/>
              </w:rPr>
            </w:pPr>
            <w:r w:rsidRPr="00086F81">
              <w:rPr>
                <w:rFonts w:cs="Arial"/>
                <w:sz w:val="20"/>
                <w:lang w:val="en-AU"/>
              </w:rPr>
              <w:t>(c) The regulation of infant formula products should be based on risk analysis, taking into account the vulnerability of the population for whom they are intended and the importance of these products in the diets of formula fed infants.</w:t>
            </w:r>
          </w:p>
        </w:tc>
        <w:tc>
          <w:tcPr>
            <w:tcW w:w="3129" w:type="pct"/>
            <w:vAlign w:val="center"/>
          </w:tcPr>
          <w:p w14:paraId="76F46526" w14:textId="325ABAEA" w:rsidR="009317D2" w:rsidRDefault="00917B32" w:rsidP="009317D2">
            <w:pPr>
              <w:spacing w:after="120"/>
              <w:rPr>
                <w:rFonts w:cs="Arial"/>
                <w:sz w:val="20"/>
                <w:lang w:val="en-AU"/>
              </w:rPr>
            </w:pPr>
            <w:r>
              <w:rPr>
                <w:rFonts w:cs="Arial"/>
                <w:sz w:val="20"/>
                <w:lang w:val="en-AU"/>
              </w:rPr>
              <w:t>Infants are recognised as a vulnerable population group, hence infant formula is tightly regulated in the Code. F</w:t>
            </w:r>
            <w:r w:rsidR="009317D2" w:rsidRPr="00086F81">
              <w:rPr>
                <w:rFonts w:cs="Arial"/>
                <w:sz w:val="20"/>
                <w:lang w:val="en-AU"/>
              </w:rPr>
              <w:t xml:space="preserve">SANZ </w:t>
            </w:r>
            <w:r>
              <w:rPr>
                <w:rFonts w:cs="Arial"/>
                <w:sz w:val="20"/>
                <w:lang w:val="en-AU"/>
              </w:rPr>
              <w:t>has used the</w:t>
            </w:r>
            <w:r w:rsidR="009317D2" w:rsidRPr="00086F81">
              <w:rPr>
                <w:rFonts w:cs="Arial"/>
                <w:sz w:val="20"/>
                <w:lang w:val="en-AU"/>
              </w:rPr>
              <w:t xml:space="preserve"> internationally accepted risk analysis framework in our decision making, </w:t>
            </w:r>
            <w:r w:rsidR="00F07450">
              <w:rPr>
                <w:rFonts w:cs="Arial"/>
                <w:sz w:val="20"/>
                <w:lang w:val="en-AU"/>
              </w:rPr>
              <w:t xml:space="preserve">this </w:t>
            </w:r>
            <w:r w:rsidR="009317D2" w:rsidRPr="00086F81">
              <w:rPr>
                <w:rFonts w:cs="Arial"/>
                <w:sz w:val="20"/>
                <w:lang w:val="en-AU"/>
              </w:rPr>
              <w:t xml:space="preserve">takes into account the </w:t>
            </w:r>
            <w:r w:rsidR="009317D2">
              <w:rPr>
                <w:rFonts w:cs="Arial"/>
                <w:sz w:val="20"/>
                <w:lang w:val="en-AU"/>
              </w:rPr>
              <w:t xml:space="preserve">importance of </w:t>
            </w:r>
            <w:r w:rsidR="00BC29F0">
              <w:rPr>
                <w:rFonts w:cs="Arial"/>
                <w:sz w:val="20"/>
                <w:lang w:val="en-AU"/>
              </w:rPr>
              <w:t xml:space="preserve">the role of </w:t>
            </w:r>
            <w:r w:rsidR="009317D2">
              <w:rPr>
                <w:rFonts w:cs="Arial"/>
                <w:sz w:val="20"/>
                <w:lang w:val="en-AU"/>
              </w:rPr>
              <w:t xml:space="preserve">formula </w:t>
            </w:r>
            <w:r w:rsidR="00BC29F0">
              <w:rPr>
                <w:rFonts w:cs="Arial"/>
                <w:sz w:val="20"/>
                <w:lang w:val="en-AU"/>
              </w:rPr>
              <w:t xml:space="preserve">as a potential sole source of nutrients </w:t>
            </w:r>
            <w:r w:rsidR="009317D2">
              <w:rPr>
                <w:rFonts w:cs="Arial"/>
                <w:sz w:val="20"/>
                <w:lang w:val="en-AU"/>
              </w:rPr>
              <w:t xml:space="preserve">and the </w:t>
            </w:r>
            <w:r w:rsidR="009317D2" w:rsidRPr="00086F81">
              <w:rPr>
                <w:rFonts w:cs="Arial"/>
                <w:sz w:val="20"/>
                <w:lang w:val="en-AU"/>
              </w:rPr>
              <w:t xml:space="preserve">vulnerability of the formula-fed infant population. </w:t>
            </w:r>
          </w:p>
          <w:p w14:paraId="64E94A5E" w14:textId="6C6FCEA5" w:rsidR="009317D2" w:rsidRDefault="009317D2" w:rsidP="009317D2">
            <w:pPr>
              <w:spacing w:after="120"/>
              <w:rPr>
                <w:sz w:val="20"/>
                <w:szCs w:val="20"/>
              </w:rPr>
            </w:pPr>
            <w:r>
              <w:rPr>
                <w:rFonts w:cs="Arial"/>
                <w:sz w:val="20"/>
                <w:lang w:val="en-AU"/>
              </w:rPr>
              <w:t xml:space="preserve">The risk </w:t>
            </w:r>
            <w:r w:rsidR="00F07450">
              <w:rPr>
                <w:rFonts w:cs="Arial"/>
                <w:sz w:val="20"/>
                <w:lang w:val="en-AU"/>
              </w:rPr>
              <w:t xml:space="preserve">and technical </w:t>
            </w:r>
            <w:r>
              <w:rPr>
                <w:rFonts w:cs="Arial"/>
                <w:sz w:val="20"/>
                <w:lang w:val="en-AU"/>
              </w:rPr>
              <w:t xml:space="preserve">assessment component of the risk analysis </w:t>
            </w:r>
            <w:r>
              <w:rPr>
                <w:sz w:val="20"/>
                <w:szCs w:val="20"/>
              </w:rPr>
              <w:t>comprised</w:t>
            </w:r>
            <w:r w:rsidRPr="00022C47">
              <w:rPr>
                <w:sz w:val="20"/>
                <w:szCs w:val="20"/>
              </w:rPr>
              <w:t xml:space="preserve">: </w:t>
            </w:r>
          </w:p>
          <w:p w14:paraId="64D6EAC9" w14:textId="77777777" w:rsidR="009317D2" w:rsidRDefault="009317D2" w:rsidP="009317D2">
            <w:pPr>
              <w:pStyle w:val="ListParagraph"/>
              <w:numPr>
                <w:ilvl w:val="0"/>
                <w:numId w:val="26"/>
              </w:numPr>
              <w:rPr>
                <w:sz w:val="20"/>
                <w:szCs w:val="20"/>
              </w:rPr>
            </w:pPr>
            <w:r w:rsidRPr="00022C47">
              <w:rPr>
                <w:sz w:val="20"/>
                <w:szCs w:val="20"/>
              </w:rPr>
              <w:t xml:space="preserve">a food technology assessment of 2′-FL and LNnT; </w:t>
            </w:r>
          </w:p>
          <w:p w14:paraId="23FA1DC7" w14:textId="77777777" w:rsidR="009317D2" w:rsidRDefault="009317D2" w:rsidP="009317D2">
            <w:pPr>
              <w:pStyle w:val="ListParagraph"/>
              <w:numPr>
                <w:ilvl w:val="0"/>
                <w:numId w:val="26"/>
              </w:numPr>
              <w:rPr>
                <w:sz w:val="20"/>
                <w:szCs w:val="20"/>
              </w:rPr>
            </w:pPr>
            <w:r w:rsidRPr="00022C47">
              <w:rPr>
                <w:sz w:val="20"/>
                <w:szCs w:val="20"/>
              </w:rPr>
              <w:t xml:space="preserve">a safety assessment to identify potential adverse effects associated with 2′-FL and LNnT; </w:t>
            </w:r>
          </w:p>
          <w:p w14:paraId="4D551F54" w14:textId="77777777" w:rsidR="009317D2" w:rsidRDefault="009317D2" w:rsidP="009317D2">
            <w:pPr>
              <w:pStyle w:val="ListParagraph"/>
              <w:numPr>
                <w:ilvl w:val="0"/>
                <w:numId w:val="26"/>
              </w:numPr>
              <w:rPr>
                <w:sz w:val="20"/>
                <w:szCs w:val="20"/>
              </w:rPr>
            </w:pPr>
            <w:r w:rsidRPr="00022C47">
              <w:rPr>
                <w:sz w:val="20"/>
                <w:szCs w:val="20"/>
              </w:rPr>
              <w:t xml:space="preserve">a dietary intake assessment to estimate the total dietary intake of 2′-FL and LNnT for breastfed infants and intake resulting from the addition of 2′-FL and LNnT to infant formula products and FSFYC; and </w:t>
            </w:r>
          </w:p>
          <w:p w14:paraId="559FB0A8" w14:textId="77777777" w:rsidR="009317D2" w:rsidRDefault="009317D2" w:rsidP="009317D2">
            <w:pPr>
              <w:pStyle w:val="ListParagraph"/>
              <w:numPr>
                <w:ilvl w:val="0"/>
                <w:numId w:val="26"/>
              </w:numPr>
              <w:rPr>
                <w:sz w:val="20"/>
                <w:szCs w:val="20"/>
              </w:rPr>
            </w:pPr>
            <w:r w:rsidRPr="00022C47">
              <w:rPr>
                <w:sz w:val="20"/>
                <w:szCs w:val="20"/>
              </w:rPr>
              <w:t>an assessment of the stated health effects.</w:t>
            </w:r>
            <w:r w:rsidRPr="003B0A65">
              <w:rPr>
                <w:sz w:val="20"/>
                <w:szCs w:val="20"/>
              </w:rPr>
              <w:t xml:space="preserve"> </w:t>
            </w:r>
          </w:p>
          <w:p w14:paraId="6A490062" w14:textId="77777777" w:rsidR="009317D2" w:rsidRDefault="009317D2" w:rsidP="009317D2">
            <w:pPr>
              <w:rPr>
                <w:sz w:val="20"/>
                <w:szCs w:val="20"/>
              </w:rPr>
            </w:pPr>
          </w:p>
          <w:p w14:paraId="0DA0AA43" w14:textId="77777777" w:rsidR="009317D2" w:rsidRDefault="009317D2" w:rsidP="009317D2">
            <w:pPr>
              <w:rPr>
                <w:sz w:val="20"/>
                <w:szCs w:val="20"/>
              </w:rPr>
            </w:pPr>
            <w:r>
              <w:rPr>
                <w:sz w:val="20"/>
                <w:szCs w:val="20"/>
              </w:rPr>
              <w:t xml:space="preserve">The risk management component comprised: </w:t>
            </w:r>
          </w:p>
          <w:p w14:paraId="67B08D13" w14:textId="77777777" w:rsidR="009317D2" w:rsidRPr="00E00DF0" w:rsidRDefault="009317D2" w:rsidP="009317D2">
            <w:pPr>
              <w:pStyle w:val="ListParagraph"/>
              <w:numPr>
                <w:ilvl w:val="0"/>
                <w:numId w:val="27"/>
              </w:numPr>
              <w:rPr>
                <w:sz w:val="20"/>
                <w:szCs w:val="20"/>
              </w:rPr>
            </w:pPr>
            <w:r w:rsidRPr="00E00DF0">
              <w:rPr>
                <w:sz w:val="20"/>
                <w:szCs w:val="20"/>
              </w:rPr>
              <w:t>consideration of risk assessment conclusions</w:t>
            </w:r>
          </w:p>
          <w:p w14:paraId="7B210FB4" w14:textId="260805F4" w:rsidR="009317D2" w:rsidRPr="00E00DF0" w:rsidRDefault="009317D2" w:rsidP="009317D2">
            <w:pPr>
              <w:pStyle w:val="ListParagraph"/>
              <w:numPr>
                <w:ilvl w:val="0"/>
                <w:numId w:val="27"/>
              </w:numPr>
              <w:rPr>
                <w:sz w:val="20"/>
                <w:szCs w:val="20"/>
              </w:rPr>
            </w:pPr>
            <w:r w:rsidRPr="00E00DF0">
              <w:rPr>
                <w:sz w:val="20"/>
                <w:szCs w:val="20"/>
              </w:rPr>
              <w:t xml:space="preserve">labelling </w:t>
            </w:r>
            <w:r w:rsidR="00917B32">
              <w:rPr>
                <w:sz w:val="20"/>
                <w:szCs w:val="20"/>
              </w:rPr>
              <w:t xml:space="preserve">to manage potential risks and provide adequate information </w:t>
            </w:r>
          </w:p>
          <w:p w14:paraId="3E646B9F" w14:textId="77777777" w:rsidR="009317D2" w:rsidRDefault="009317D2" w:rsidP="009317D2">
            <w:pPr>
              <w:pStyle w:val="ListParagraph"/>
              <w:numPr>
                <w:ilvl w:val="0"/>
                <w:numId w:val="27"/>
              </w:numPr>
              <w:rPr>
                <w:sz w:val="20"/>
                <w:szCs w:val="20"/>
              </w:rPr>
            </w:pPr>
            <w:r>
              <w:rPr>
                <w:sz w:val="20"/>
                <w:szCs w:val="20"/>
              </w:rPr>
              <w:t>a</w:t>
            </w:r>
            <w:r w:rsidRPr="00E00DF0">
              <w:rPr>
                <w:sz w:val="20"/>
                <w:szCs w:val="20"/>
              </w:rPr>
              <w:t>ppropriate conditions for use: maximum use, minimum levels, specifications</w:t>
            </w:r>
          </w:p>
          <w:p w14:paraId="2D8176B9" w14:textId="77777777" w:rsidR="009317D2" w:rsidRPr="00E00DF0" w:rsidRDefault="009317D2" w:rsidP="009317D2">
            <w:pPr>
              <w:pStyle w:val="ListParagraph"/>
              <w:numPr>
                <w:ilvl w:val="0"/>
                <w:numId w:val="27"/>
              </w:numPr>
              <w:rPr>
                <w:sz w:val="20"/>
                <w:szCs w:val="20"/>
              </w:rPr>
            </w:pPr>
            <w:r w:rsidRPr="00E00DF0">
              <w:rPr>
                <w:sz w:val="20"/>
                <w:szCs w:val="20"/>
              </w:rPr>
              <w:t>issues raised by submitters</w:t>
            </w:r>
          </w:p>
          <w:p w14:paraId="5AB46761" w14:textId="77777777" w:rsidR="009317D2" w:rsidRPr="00E00DF0" w:rsidRDefault="009317D2" w:rsidP="009317D2">
            <w:pPr>
              <w:pStyle w:val="ListParagraph"/>
              <w:numPr>
                <w:ilvl w:val="0"/>
                <w:numId w:val="27"/>
              </w:numPr>
              <w:rPr>
                <w:sz w:val="20"/>
                <w:szCs w:val="20"/>
              </w:rPr>
            </w:pPr>
            <w:r>
              <w:rPr>
                <w:sz w:val="20"/>
                <w:szCs w:val="20"/>
              </w:rPr>
              <w:t>i</w:t>
            </w:r>
            <w:r w:rsidRPr="00E00DF0">
              <w:rPr>
                <w:sz w:val="20"/>
                <w:szCs w:val="20"/>
              </w:rPr>
              <w:t xml:space="preserve">nternational consistency and harmonisation </w:t>
            </w:r>
          </w:p>
          <w:p w14:paraId="55EEDBB7" w14:textId="77777777" w:rsidR="009317D2" w:rsidRPr="00E00DF0" w:rsidRDefault="009317D2" w:rsidP="009317D2">
            <w:pPr>
              <w:pStyle w:val="ListParagraph"/>
              <w:numPr>
                <w:ilvl w:val="0"/>
                <w:numId w:val="27"/>
              </w:numPr>
              <w:rPr>
                <w:sz w:val="20"/>
                <w:szCs w:val="20"/>
              </w:rPr>
            </w:pPr>
            <w:r w:rsidRPr="00E00DF0">
              <w:rPr>
                <w:sz w:val="20"/>
                <w:szCs w:val="20"/>
              </w:rPr>
              <w:t xml:space="preserve">policy guidelines </w:t>
            </w:r>
          </w:p>
          <w:p w14:paraId="476FCF66" w14:textId="77777777" w:rsidR="009317D2" w:rsidRDefault="009317D2" w:rsidP="009317D2">
            <w:pPr>
              <w:rPr>
                <w:sz w:val="20"/>
                <w:szCs w:val="20"/>
              </w:rPr>
            </w:pPr>
          </w:p>
          <w:p w14:paraId="277466AE" w14:textId="40CB10B2" w:rsidR="009317D2" w:rsidRPr="007F1EA4" w:rsidRDefault="009317D2" w:rsidP="009317D2">
            <w:pPr>
              <w:rPr>
                <w:rFonts w:cs="Arial"/>
                <w:sz w:val="20"/>
                <w:lang w:val="en-AU"/>
              </w:rPr>
            </w:pPr>
            <w:r w:rsidRPr="003B0A65">
              <w:rPr>
                <w:sz w:val="20"/>
                <w:szCs w:val="20"/>
              </w:rPr>
              <w:t xml:space="preserve">The conclusions of the assessments </w:t>
            </w:r>
            <w:r w:rsidRPr="00022C47">
              <w:rPr>
                <w:sz w:val="20"/>
                <w:szCs w:val="20"/>
              </w:rPr>
              <w:t xml:space="preserve">were </w:t>
            </w:r>
            <w:r w:rsidR="00917B32">
              <w:rPr>
                <w:sz w:val="20"/>
                <w:szCs w:val="20"/>
              </w:rPr>
              <w:t xml:space="preserve">also </w:t>
            </w:r>
            <w:r w:rsidRPr="00022C47">
              <w:rPr>
                <w:sz w:val="20"/>
                <w:szCs w:val="20"/>
              </w:rPr>
              <w:t xml:space="preserve">made taking into account </w:t>
            </w:r>
            <w:r>
              <w:rPr>
                <w:sz w:val="20"/>
                <w:szCs w:val="20"/>
              </w:rPr>
              <w:t xml:space="preserve">all best available </w:t>
            </w:r>
            <w:r w:rsidRPr="00022C47">
              <w:rPr>
                <w:sz w:val="20"/>
                <w:szCs w:val="20"/>
              </w:rPr>
              <w:t>evidence</w:t>
            </w:r>
            <w:r>
              <w:rPr>
                <w:sz w:val="20"/>
                <w:szCs w:val="20"/>
              </w:rPr>
              <w:t>.</w:t>
            </w:r>
          </w:p>
        </w:tc>
      </w:tr>
      <w:tr w:rsidR="009317D2" w:rsidRPr="00932F72" w14:paraId="004E917A" w14:textId="77777777" w:rsidTr="002333A6">
        <w:tc>
          <w:tcPr>
            <w:tcW w:w="1871" w:type="pct"/>
            <w:vAlign w:val="center"/>
          </w:tcPr>
          <w:p w14:paraId="400DB62F" w14:textId="3A8DA12A" w:rsidR="009317D2" w:rsidRDefault="009317D2" w:rsidP="009317D2">
            <w:pPr>
              <w:rPr>
                <w:rFonts w:cs="Arial"/>
                <w:sz w:val="20"/>
                <w:lang w:val="en-AU"/>
              </w:rPr>
            </w:pPr>
            <w:r w:rsidRPr="00F86EEB">
              <w:rPr>
                <w:rFonts w:cs="Arial"/>
                <w:sz w:val="20"/>
                <w:lang w:val="en-AU"/>
              </w:rPr>
              <w:t>(d) The composition of infant formula must be safe, suitable for the intended use and must strive to achieve as closely as possible the normal growth and development (as measured by appropriate physiological, biochemical and/or functional outcomes) of healthy full term exclusively breastfed infants when infant formula used as the sole source of nutrition up to six months of age.</w:t>
            </w:r>
          </w:p>
          <w:p w14:paraId="666C8BB1" w14:textId="77777777" w:rsidR="009904E1" w:rsidRDefault="009904E1" w:rsidP="009317D2">
            <w:pPr>
              <w:rPr>
                <w:rFonts w:cs="Arial"/>
                <w:sz w:val="20"/>
                <w:lang w:val="en-AU"/>
              </w:rPr>
            </w:pPr>
          </w:p>
          <w:p w14:paraId="6912FE7E" w14:textId="42BB39CA" w:rsidR="009317D2" w:rsidRDefault="00733C4D" w:rsidP="009317D2">
            <w:pPr>
              <w:rPr>
                <w:rFonts w:cs="Arial"/>
                <w:sz w:val="20"/>
                <w:lang w:val="en-AU"/>
              </w:rPr>
            </w:pPr>
            <w:r>
              <w:rPr>
                <w:rFonts w:cs="Arial"/>
                <w:sz w:val="20"/>
                <w:lang w:val="en-AU"/>
              </w:rPr>
              <w:t xml:space="preserve">AND </w:t>
            </w:r>
          </w:p>
          <w:p w14:paraId="23A4CDDB" w14:textId="77777777" w:rsidR="009904E1" w:rsidRDefault="009904E1" w:rsidP="009317D2">
            <w:pPr>
              <w:rPr>
                <w:rFonts w:cs="Arial"/>
                <w:sz w:val="20"/>
                <w:lang w:val="en-AU"/>
              </w:rPr>
            </w:pPr>
          </w:p>
          <w:p w14:paraId="18BA0450" w14:textId="77777777" w:rsidR="009317D2" w:rsidRPr="00F86EEB" w:rsidRDefault="009317D2" w:rsidP="009317D2">
            <w:pPr>
              <w:rPr>
                <w:rFonts w:cs="Arial"/>
                <w:sz w:val="20"/>
                <w:lang w:val="en-AU"/>
              </w:rPr>
            </w:pPr>
            <w:r w:rsidRPr="00F86EEB">
              <w:rPr>
                <w:rFonts w:cs="Arial"/>
                <w:sz w:val="20"/>
                <w:lang w:val="en-AU"/>
              </w:rPr>
              <w:t>(e) 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p>
        </w:tc>
        <w:tc>
          <w:tcPr>
            <w:tcW w:w="3129" w:type="pct"/>
          </w:tcPr>
          <w:p w14:paraId="66470376" w14:textId="0D36227B" w:rsidR="009904E1" w:rsidRDefault="009317D2" w:rsidP="009904E1">
            <w:pPr>
              <w:pStyle w:val="FSBullet1"/>
              <w:numPr>
                <w:ilvl w:val="0"/>
                <w:numId w:val="0"/>
              </w:numPr>
            </w:pPr>
            <w:r w:rsidRPr="00022C47">
              <w:rPr>
                <w:sz w:val="20"/>
              </w:rPr>
              <w:t>FSANZ consider</w:t>
            </w:r>
            <w:r>
              <w:rPr>
                <w:sz w:val="20"/>
              </w:rPr>
              <w:t xml:space="preserve">ed </w:t>
            </w:r>
            <w:r w:rsidRPr="00022C47">
              <w:rPr>
                <w:sz w:val="20"/>
              </w:rPr>
              <w:t xml:space="preserve">an evidence base </w:t>
            </w:r>
            <w:r>
              <w:rPr>
                <w:sz w:val="20"/>
              </w:rPr>
              <w:t xml:space="preserve">which </w:t>
            </w:r>
            <w:r w:rsidRPr="00022C47">
              <w:rPr>
                <w:sz w:val="20"/>
              </w:rPr>
              <w:t>includ</w:t>
            </w:r>
            <w:r>
              <w:rPr>
                <w:sz w:val="20"/>
              </w:rPr>
              <w:t xml:space="preserve">ed </w:t>
            </w:r>
            <w:r w:rsidRPr="00B3515B">
              <w:rPr>
                <w:i/>
                <w:sz w:val="20"/>
              </w:rPr>
              <w:t xml:space="preserve">in vitro </w:t>
            </w:r>
            <w:r w:rsidRPr="00022C47">
              <w:rPr>
                <w:sz w:val="20"/>
              </w:rPr>
              <w:t>evidence</w:t>
            </w:r>
            <w:r w:rsidR="009904E1">
              <w:rPr>
                <w:sz w:val="20"/>
              </w:rPr>
              <w:t xml:space="preserve">, animal studies, infant trials </w:t>
            </w:r>
            <w:r w:rsidRPr="00022C47">
              <w:rPr>
                <w:sz w:val="20"/>
              </w:rPr>
              <w:t xml:space="preserve">as well as </w:t>
            </w:r>
            <w:r w:rsidR="009904E1">
              <w:rPr>
                <w:sz w:val="20"/>
              </w:rPr>
              <w:t xml:space="preserve">other </w:t>
            </w:r>
            <w:r w:rsidRPr="00022C47">
              <w:rPr>
                <w:sz w:val="20"/>
              </w:rPr>
              <w:t xml:space="preserve">relevant </w:t>
            </w:r>
            <w:r w:rsidRPr="005632B5">
              <w:rPr>
                <w:sz w:val="20"/>
              </w:rPr>
              <w:t>studies</w:t>
            </w:r>
            <w:r>
              <w:rPr>
                <w:sz w:val="20"/>
              </w:rPr>
              <w:t xml:space="preserve"> for </w:t>
            </w:r>
            <w:r w:rsidR="009904E1">
              <w:rPr>
                <w:sz w:val="20"/>
              </w:rPr>
              <w:t xml:space="preserve">this assessment. </w:t>
            </w:r>
            <w:r w:rsidR="00F07450">
              <w:rPr>
                <w:sz w:val="20"/>
              </w:rPr>
              <w:t xml:space="preserve">This </w:t>
            </w:r>
            <w:r w:rsidR="009B76B0">
              <w:rPr>
                <w:sz w:val="20"/>
              </w:rPr>
              <w:t xml:space="preserve">evidence base demonstrates that these oligosaccharides are safe and suitable for use in infant formula products. </w:t>
            </w:r>
          </w:p>
          <w:p w14:paraId="5A1A9E35" w14:textId="67025761" w:rsidR="009317D2" w:rsidRPr="009B76B0" w:rsidRDefault="009317D2" w:rsidP="009B76B0">
            <w:pPr>
              <w:rPr>
                <w:sz w:val="20"/>
              </w:rPr>
            </w:pPr>
          </w:p>
          <w:p w14:paraId="4A3432F7" w14:textId="77777777" w:rsidR="009317D2" w:rsidRPr="00086F81" w:rsidRDefault="009317D2" w:rsidP="009317D2">
            <w:pPr>
              <w:spacing w:after="120"/>
              <w:rPr>
                <w:sz w:val="20"/>
                <w:lang w:val="en-AU" w:bidi="ar-SA"/>
              </w:rPr>
            </w:pPr>
            <w:r>
              <w:rPr>
                <w:sz w:val="20"/>
                <w:lang w:val="en-AU" w:bidi="ar-SA"/>
              </w:rPr>
              <w:t>In relation to safety</w:t>
            </w:r>
            <w:r w:rsidRPr="00086F81">
              <w:rPr>
                <w:sz w:val="20"/>
                <w:lang w:val="en-AU" w:bidi="ar-SA"/>
              </w:rPr>
              <w:t>:</w:t>
            </w:r>
          </w:p>
          <w:p w14:paraId="51DF3257" w14:textId="77777777" w:rsidR="00733C4D" w:rsidRPr="00733C4D" w:rsidRDefault="00733C4D" w:rsidP="009904E1">
            <w:pPr>
              <w:pStyle w:val="FSBullet1"/>
              <w:numPr>
                <w:ilvl w:val="0"/>
                <w:numId w:val="21"/>
              </w:numPr>
              <w:rPr>
                <w:sz w:val="20"/>
              </w:rPr>
            </w:pPr>
            <w:r w:rsidRPr="00733C4D">
              <w:rPr>
                <w:sz w:val="20"/>
              </w:rPr>
              <w:t xml:space="preserve">Glycom’s 2'-FL and LNnT are chemically and structurally identical to the naturally occurring substances in human milk. </w:t>
            </w:r>
          </w:p>
          <w:p w14:paraId="4F941428" w14:textId="54C9E1B4" w:rsidR="009317D2" w:rsidRPr="00086F81" w:rsidRDefault="009317D2" w:rsidP="009904E1">
            <w:pPr>
              <w:pStyle w:val="FSBullet1"/>
              <w:numPr>
                <w:ilvl w:val="0"/>
                <w:numId w:val="21"/>
              </w:numPr>
              <w:rPr>
                <w:sz w:val="20"/>
              </w:rPr>
            </w:pPr>
            <w:r w:rsidRPr="00086F81">
              <w:t>I</w:t>
            </w:r>
            <w:r w:rsidRPr="00086F81">
              <w:rPr>
                <w:sz w:val="20"/>
              </w:rPr>
              <w:t>ntestinal absorption of 2′-FL and LNnT is limited.</w:t>
            </w:r>
          </w:p>
          <w:p w14:paraId="2E66354E" w14:textId="77777777" w:rsidR="009B76B0" w:rsidRPr="009B76B0" w:rsidRDefault="009317D2" w:rsidP="009904E1">
            <w:pPr>
              <w:pStyle w:val="FSBullet1"/>
              <w:numPr>
                <w:ilvl w:val="0"/>
                <w:numId w:val="21"/>
              </w:numPr>
              <w:rPr>
                <w:sz w:val="20"/>
              </w:rPr>
            </w:pPr>
            <w:r w:rsidRPr="009B76B0">
              <w:rPr>
                <w:sz w:val="20"/>
              </w:rPr>
              <w:t>No adverse effects were observed at high doses in suitable animal studies of an appropriate age, or at levels in infant studies.</w:t>
            </w:r>
          </w:p>
          <w:p w14:paraId="78C8C623" w14:textId="4F2CB952" w:rsidR="009317D2" w:rsidRPr="009B76B0" w:rsidRDefault="00AD326C" w:rsidP="009904E1">
            <w:pPr>
              <w:pStyle w:val="FSBullet1"/>
              <w:numPr>
                <w:ilvl w:val="0"/>
                <w:numId w:val="21"/>
              </w:numPr>
              <w:rPr>
                <w:sz w:val="20"/>
              </w:rPr>
            </w:pPr>
            <w:r w:rsidRPr="009B76B0">
              <w:rPr>
                <w:sz w:val="20"/>
              </w:rPr>
              <w:t>Taken together, th</w:t>
            </w:r>
            <w:r w:rsidR="009904E1">
              <w:rPr>
                <w:sz w:val="20"/>
              </w:rPr>
              <w:t xml:space="preserve">is evidence </w:t>
            </w:r>
            <w:r w:rsidRPr="009B76B0">
              <w:rPr>
                <w:sz w:val="20"/>
              </w:rPr>
              <w:t xml:space="preserve">is sufficient to conclude that there are no public health and safety concerns associated with the addition of 2’-FL alone or in combination with LNnT at the proposed concentrations. </w:t>
            </w:r>
          </w:p>
          <w:p w14:paraId="6C0A70D4" w14:textId="03F63C43" w:rsidR="009317D2" w:rsidRPr="009904E1" w:rsidRDefault="009317D2" w:rsidP="009904E1">
            <w:pPr>
              <w:rPr>
                <w:sz w:val="20"/>
              </w:rPr>
            </w:pPr>
          </w:p>
          <w:p w14:paraId="4FC31567" w14:textId="5F5EF3F5" w:rsidR="009904E1" w:rsidRDefault="009904E1" w:rsidP="009904E1">
            <w:pPr>
              <w:pStyle w:val="FSBullet1"/>
              <w:numPr>
                <w:ilvl w:val="0"/>
                <w:numId w:val="0"/>
              </w:numPr>
              <w:rPr>
                <w:sz w:val="20"/>
                <w:lang w:val="en-AU"/>
              </w:rPr>
            </w:pPr>
            <w:r>
              <w:rPr>
                <w:sz w:val="20"/>
              </w:rPr>
              <w:t>Normal growth has been considered, noting m</w:t>
            </w:r>
            <w:r w:rsidRPr="0029694B">
              <w:rPr>
                <w:bCs/>
                <w:sz w:val="20"/>
                <w:szCs w:val="20"/>
              </w:rPr>
              <w:t xml:space="preserve">easures of growth </w:t>
            </w:r>
            <w:r>
              <w:rPr>
                <w:bCs/>
                <w:sz w:val="20"/>
                <w:szCs w:val="20"/>
              </w:rPr>
              <w:t>relate to</w:t>
            </w:r>
            <w:r w:rsidR="00F07450">
              <w:rPr>
                <w:bCs/>
                <w:sz w:val="20"/>
                <w:szCs w:val="20"/>
              </w:rPr>
              <w:t xml:space="preserve"> both</w:t>
            </w:r>
            <w:r>
              <w:rPr>
                <w:bCs/>
                <w:sz w:val="20"/>
                <w:szCs w:val="20"/>
              </w:rPr>
              <w:t xml:space="preserve"> </w:t>
            </w:r>
            <w:r w:rsidRPr="0029694B">
              <w:rPr>
                <w:bCs/>
                <w:sz w:val="20"/>
                <w:szCs w:val="20"/>
              </w:rPr>
              <w:t>safety and favourable health effect</w:t>
            </w:r>
            <w:r>
              <w:rPr>
                <w:bCs/>
                <w:sz w:val="20"/>
                <w:szCs w:val="20"/>
              </w:rPr>
              <w:t>s</w:t>
            </w:r>
            <w:r w:rsidRPr="0029694B">
              <w:rPr>
                <w:bCs/>
                <w:sz w:val="20"/>
                <w:szCs w:val="20"/>
              </w:rPr>
              <w:t xml:space="preserve">. </w:t>
            </w:r>
            <w:r>
              <w:rPr>
                <w:bCs/>
                <w:sz w:val="20"/>
                <w:szCs w:val="20"/>
              </w:rPr>
              <w:t>Given the complexities and ethical challenges in infant feeding research, FSANZ notes that c</w:t>
            </w:r>
            <w:r w:rsidRPr="0029694B">
              <w:rPr>
                <w:bCs/>
                <w:sz w:val="20"/>
                <w:szCs w:val="20"/>
              </w:rPr>
              <w:t>omparisons of anthropometric measures (length, weight, head</w:t>
            </w:r>
            <w:r w:rsidRPr="0029694B">
              <w:rPr>
                <w:sz w:val="20"/>
                <w:szCs w:val="20"/>
              </w:rPr>
              <w:t xml:space="preserve"> circumference) </w:t>
            </w:r>
            <w:r>
              <w:rPr>
                <w:sz w:val="20"/>
                <w:szCs w:val="20"/>
              </w:rPr>
              <w:t>should consider</w:t>
            </w:r>
            <w:r w:rsidRPr="0029694B">
              <w:rPr>
                <w:sz w:val="20"/>
                <w:szCs w:val="20"/>
              </w:rPr>
              <w:t xml:space="preserve">: </w:t>
            </w:r>
            <w:r w:rsidRPr="003651A2">
              <w:rPr>
                <w:sz w:val="20"/>
                <w:szCs w:val="20"/>
              </w:rPr>
              <w:t>control and intervention groups a</w:t>
            </w:r>
            <w:r>
              <w:rPr>
                <w:sz w:val="20"/>
                <w:szCs w:val="20"/>
              </w:rPr>
              <w:t xml:space="preserve">s well as </w:t>
            </w:r>
            <w:r w:rsidRPr="003651A2">
              <w:rPr>
                <w:sz w:val="20"/>
                <w:szCs w:val="20"/>
              </w:rPr>
              <w:t>intervention groups and breastfed reference group</w:t>
            </w:r>
            <w:r>
              <w:rPr>
                <w:sz w:val="20"/>
                <w:szCs w:val="20"/>
              </w:rPr>
              <w:t xml:space="preserve">. The assessment included </w:t>
            </w:r>
            <w:r w:rsidRPr="003651A2">
              <w:rPr>
                <w:sz w:val="20"/>
                <w:lang w:val="en-AU"/>
              </w:rPr>
              <w:t>infant studies which assessed growth concluding that there are no negative impacts on physical growth</w:t>
            </w:r>
            <w:r>
              <w:rPr>
                <w:sz w:val="20"/>
                <w:lang w:val="en-AU"/>
              </w:rPr>
              <w:t xml:space="preserve"> </w:t>
            </w:r>
            <w:r w:rsidRPr="00820988">
              <w:rPr>
                <w:sz w:val="20"/>
                <w:lang w:val="en-AU"/>
              </w:rPr>
              <w:t>throughout infancy</w:t>
            </w:r>
            <w:r>
              <w:rPr>
                <w:sz w:val="20"/>
                <w:lang w:val="en-AU"/>
              </w:rPr>
              <w:t xml:space="preserve">. </w:t>
            </w:r>
          </w:p>
          <w:p w14:paraId="18728027" w14:textId="77777777" w:rsidR="009904E1" w:rsidRDefault="009904E1" w:rsidP="009317D2">
            <w:pPr>
              <w:rPr>
                <w:lang w:val="en-AU" w:bidi="ar-SA"/>
              </w:rPr>
            </w:pPr>
          </w:p>
          <w:p w14:paraId="67976136" w14:textId="6A101453" w:rsidR="009317D2" w:rsidRPr="009B76B0" w:rsidRDefault="00F07450" w:rsidP="009317D2">
            <w:pPr>
              <w:rPr>
                <w:sz w:val="20"/>
                <w:szCs w:val="22"/>
                <w:lang w:val="en-AU" w:bidi="ar-SA"/>
              </w:rPr>
            </w:pPr>
            <w:r>
              <w:rPr>
                <w:sz w:val="20"/>
                <w:szCs w:val="22"/>
                <w:lang w:val="en-AU" w:bidi="ar-SA"/>
              </w:rPr>
              <w:t xml:space="preserve">Normal development has also been considered. </w:t>
            </w:r>
            <w:r w:rsidR="009B76B0" w:rsidRPr="009B76B0">
              <w:rPr>
                <w:sz w:val="20"/>
                <w:szCs w:val="22"/>
                <w:lang w:val="en-AU" w:bidi="ar-SA"/>
              </w:rPr>
              <w:t xml:space="preserve">The policy guideline specifies that development is to be measured by </w:t>
            </w:r>
            <w:r w:rsidR="009B76B0" w:rsidRPr="009B76B0">
              <w:rPr>
                <w:rFonts w:cs="Arial"/>
                <w:sz w:val="20"/>
                <w:szCs w:val="22"/>
                <w:lang w:val="en-AU"/>
              </w:rPr>
              <w:t xml:space="preserve">appropriate physiological, biochemical and/or functional outcomes. </w:t>
            </w:r>
            <w:r w:rsidR="009317D2" w:rsidRPr="009B76B0">
              <w:rPr>
                <w:sz w:val="20"/>
                <w:szCs w:val="22"/>
                <w:lang w:val="en-AU" w:bidi="ar-SA"/>
              </w:rPr>
              <w:t xml:space="preserve">The decision to permit </w:t>
            </w:r>
            <w:r w:rsidR="009317D2" w:rsidRPr="009B76B0">
              <w:rPr>
                <w:sz w:val="20"/>
                <w:szCs w:val="22"/>
              </w:rPr>
              <w:t xml:space="preserve">2′-FL and LNnT also considered that: </w:t>
            </w:r>
          </w:p>
          <w:p w14:paraId="39BFA622" w14:textId="5A1060D0" w:rsidR="00AD326C" w:rsidRPr="009904E1" w:rsidRDefault="009904E1" w:rsidP="008D7659">
            <w:pPr>
              <w:pStyle w:val="FSBullet1"/>
              <w:numPr>
                <w:ilvl w:val="0"/>
                <w:numId w:val="21"/>
              </w:numPr>
              <w:rPr>
                <w:sz w:val="20"/>
                <w:lang w:val="en-AU"/>
              </w:rPr>
            </w:pPr>
            <w:r w:rsidRPr="009904E1">
              <w:rPr>
                <w:sz w:val="20"/>
                <w:lang w:val="en-AU"/>
              </w:rPr>
              <w:t>Breastfed infants are the reference standard for the normal healthy development of gut microflora in inf</w:t>
            </w:r>
            <w:r w:rsidR="00F42DC8">
              <w:rPr>
                <w:sz w:val="20"/>
                <w:lang w:val="en-AU"/>
              </w:rPr>
              <w:t>ants. B</w:t>
            </w:r>
            <w:r w:rsidR="00AD326C" w:rsidRPr="009904E1">
              <w:rPr>
                <w:sz w:val="20"/>
              </w:rPr>
              <w:t xml:space="preserve">reastfed infants have different </w:t>
            </w:r>
            <w:r w:rsidR="00AD326C" w:rsidRPr="009904E1">
              <w:rPr>
                <w:sz w:val="20"/>
                <w:szCs w:val="22"/>
                <w:lang w:val="en-AU"/>
              </w:rPr>
              <w:t>stool microflora and metabolic profile when compared to formula-fed infants</w:t>
            </w:r>
            <w:r w:rsidR="00F42DC8">
              <w:rPr>
                <w:sz w:val="20"/>
                <w:szCs w:val="22"/>
                <w:lang w:val="en-AU"/>
              </w:rPr>
              <w:t xml:space="preserve">; </w:t>
            </w:r>
            <w:r w:rsidR="00F42DC8" w:rsidRPr="009904E1">
              <w:rPr>
                <w:sz w:val="20"/>
                <w:lang w:val="en-AU"/>
              </w:rPr>
              <w:t>breastfed infants typically have a a higher relative abundance of bifidobacteria compared to formula fed infants.</w:t>
            </w:r>
          </w:p>
          <w:p w14:paraId="624AF8BA" w14:textId="77777777" w:rsidR="00F42DC8" w:rsidRDefault="00F42DC8" w:rsidP="00F42DC8">
            <w:pPr>
              <w:pStyle w:val="FSBullet1"/>
              <w:numPr>
                <w:ilvl w:val="0"/>
                <w:numId w:val="21"/>
              </w:numPr>
              <w:rPr>
                <w:sz w:val="20"/>
              </w:rPr>
            </w:pPr>
            <w:r>
              <w:rPr>
                <w:sz w:val="20"/>
                <w:lang w:val="en-AU"/>
              </w:rPr>
              <w:t xml:space="preserve">It is appropriate to compare the relevant </w:t>
            </w:r>
            <w:r w:rsidRPr="0029694B">
              <w:rPr>
                <w:sz w:val="20"/>
                <w:lang w:val="en-AU"/>
              </w:rPr>
              <w:t>physiological, biochemical or functional effect(s) in a control and intervention group, and between an intervention group and a breastfed reference group</w:t>
            </w:r>
            <w:r w:rsidRPr="007F1EA4">
              <w:rPr>
                <w:sz w:val="20"/>
                <w:highlight w:val="yellow"/>
              </w:rPr>
              <w:t xml:space="preserve"> </w:t>
            </w:r>
          </w:p>
          <w:p w14:paraId="3C63E9E5" w14:textId="6E49CF5B" w:rsidR="009317D2" w:rsidRPr="0047472A" w:rsidRDefault="009904E1" w:rsidP="005B4AFB">
            <w:pPr>
              <w:pStyle w:val="FSBullet1"/>
              <w:numPr>
                <w:ilvl w:val="0"/>
                <w:numId w:val="21"/>
              </w:numPr>
              <w:rPr>
                <w:sz w:val="20"/>
                <w:lang w:val="en-AU"/>
              </w:rPr>
            </w:pPr>
            <w:r w:rsidRPr="0047472A">
              <w:rPr>
                <w:sz w:val="20"/>
                <w:szCs w:val="22"/>
                <w:lang w:val="en-AU"/>
              </w:rPr>
              <w:t xml:space="preserve">The evidence </w:t>
            </w:r>
            <w:r w:rsidR="00F42DC8">
              <w:rPr>
                <w:sz w:val="20"/>
                <w:szCs w:val="22"/>
                <w:lang w:val="en-AU"/>
              </w:rPr>
              <w:t xml:space="preserve">assessed </w:t>
            </w:r>
            <w:r w:rsidR="0047472A" w:rsidRPr="0047472A">
              <w:rPr>
                <w:sz w:val="20"/>
                <w:szCs w:val="22"/>
                <w:lang w:val="en-AU"/>
              </w:rPr>
              <w:t xml:space="preserve">substantiates </w:t>
            </w:r>
            <w:r w:rsidR="00F42DC8">
              <w:rPr>
                <w:sz w:val="20"/>
                <w:szCs w:val="22"/>
                <w:lang w:val="en-AU"/>
              </w:rPr>
              <w:t xml:space="preserve">there is a bifidogenic effect resulting from </w:t>
            </w:r>
            <w:r w:rsidRPr="0047472A">
              <w:rPr>
                <w:sz w:val="20"/>
                <w:szCs w:val="22"/>
                <w:lang w:val="en-AU"/>
              </w:rPr>
              <w:t>inclusion of 2’</w:t>
            </w:r>
            <w:r w:rsidR="00D25D3E">
              <w:rPr>
                <w:sz w:val="20"/>
                <w:szCs w:val="22"/>
                <w:lang w:val="en-AU"/>
              </w:rPr>
              <w:t>-</w:t>
            </w:r>
            <w:r w:rsidRPr="0047472A">
              <w:rPr>
                <w:sz w:val="20"/>
                <w:szCs w:val="22"/>
                <w:lang w:val="en-AU"/>
              </w:rPr>
              <w:t>F</w:t>
            </w:r>
            <w:r w:rsidR="00D25D3E">
              <w:rPr>
                <w:sz w:val="20"/>
                <w:szCs w:val="22"/>
                <w:lang w:val="en-AU"/>
              </w:rPr>
              <w:t>L</w:t>
            </w:r>
            <w:r w:rsidRPr="0047472A">
              <w:rPr>
                <w:sz w:val="20"/>
                <w:szCs w:val="22"/>
                <w:lang w:val="en-AU"/>
              </w:rPr>
              <w:t xml:space="preserve"> and LNnT in infant formula propoducts</w:t>
            </w:r>
            <w:r w:rsidR="0047472A" w:rsidRPr="0047472A">
              <w:rPr>
                <w:sz w:val="20"/>
                <w:szCs w:val="22"/>
                <w:lang w:val="en-AU"/>
              </w:rPr>
              <w:t>.</w:t>
            </w:r>
            <w:r w:rsidRPr="0047472A">
              <w:rPr>
                <w:sz w:val="20"/>
                <w:szCs w:val="22"/>
                <w:lang w:val="en-AU"/>
              </w:rPr>
              <w:t xml:space="preserve"> The</w:t>
            </w:r>
            <w:r w:rsidR="0047472A" w:rsidRPr="0047472A">
              <w:rPr>
                <w:sz w:val="20"/>
                <w:szCs w:val="22"/>
                <w:lang w:val="en-AU"/>
              </w:rPr>
              <w:t xml:space="preserve"> stool microflora and metabolic profile </w:t>
            </w:r>
            <w:r w:rsidR="009317D2" w:rsidRPr="0047472A">
              <w:rPr>
                <w:sz w:val="20"/>
                <w:szCs w:val="22"/>
                <w:lang w:val="en-AU"/>
              </w:rPr>
              <w:t>shift towards those of breastfed infants</w:t>
            </w:r>
            <w:r w:rsidR="0047472A" w:rsidRPr="0047472A">
              <w:rPr>
                <w:sz w:val="20"/>
                <w:szCs w:val="22"/>
                <w:lang w:val="en-AU"/>
              </w:rPr>
              <w:t xml:space="preserve">. </w:t>
            </w:r>
            <w:r w:rsidR="009317D2" w:rsidRPr="0047472A">
              <w:rPr>
                <w:sz w:val="20"/>
                <w:lang w:val="en-AU"/>
              </w:rPr>
              <w:t xml:space="preserve">These are appropriate functional outcomes given the documented differences in the stool microbiota between breastfed and formula-fed infants. </w:t>
            </w:r>
          </w:p>
          <w:p w14:paraId="6010D1D4" w14:textId="7EC23386" w:rsidR="009317D2" w:rsidRPr="007F1EA4" w:rsidRDefault="0047472A" w:rsidP="00E46F97">
            <w:pPr>
              <w:pStyle w:val="FSBullet1"/>
              <w:numPr>
                <w:ilvl w:val="0"/>
                <w:numId w:val="21"/>
              </w:numPr>
              <w:rPr>
                <w:sz w:val="20"/>
                <w:lang w:val="en-AU"/>
              </w:rPr>
            </w:pPr>
            <w:r>
              <w:rPr>
                <w:color w:val="000000" w:themeColor="text1"/>
                <w:sz w:val="20"/>
                <w:szCs w:val="20"/>
              </w:rPr>
              <w:t xml:space="preserve">The evidence from </w:t>
            </w:r>
            <w:r w:rsidRPr="00E46F97">
              <w:rPr>
                <w:sz w:val="20"/>
              </w:rPr>
              <w:t>cell culture and animal studies substantiates a specific binding mechanism for 2’-FL and invasive strains of Campylobacter jejuni and a biologically plausible mechanism for an inhibitory effect against invasive C. jejuni infection</w:t>
            </w:r>
            <w:r w:rsidR="009317D2" w:rsidRPr="00E46F97">
              <w:rPr>
                <w:sz w:val="20"/>
              </w:rPr>
              <w:t>.</w:t>
            </w:r>
            <w:r w:rsidR="009904E1" w:rsidRPr="00E46F97">
              <w:rPr>
                <w:sz w:val="20"/>
              </w:rPr>
              <w:t xml:space="preserve"> </w:t>
            </w:r>
            <w:r w:rsidR="00E46F97" w:rsidRPr="00E46F97">
              <w:rPr>
                <w:sz w:val="20"/>
              </w:rPr>
              <w:t>As it is not ethical to conduct human clinical trials in infants to demonstrate the protective effects of 2’-FL in reducing severity of invasive C. jejuni infection</w:t>
            </w:r>
            <w:r w:rsidR="00E46F97">
              <w:rPr>
                <w:sz w:val="20"/>
              </w:rPr>
              <w:t xml:space="preserve"> FSANZ </w:t>
            </w:r>
            <w:r w:rsidR="00D25D3E">
              <w:rPr>
                <w:sz w:val="20"/>
              </w:rPr>
              <w:t xml:space="preserve">considers the </w:t>
            </w:r>
          </w:p>
        </w:tc>
      </w:tr>
      <w:tr w:rsidR="009317D2" w:rsidRPr="00932F72" w14:paraId="35D59C79" w14:textId="77777777" w:rsidTr="002333A6">
        <w:tc>
          <w:tcPr>
            <w:tcW w:w="1871" w:type="pct"/>
            <w:shd w:val="clear" w:color="auto" w:fill="F2F2F2" w:themeFill="background1" w:themeFillShade="F2"/>
          </w:tcPr>
          <w:p w14:paraId="612FB887" w14:textId="77777777" w:rsidR="009317D2" w:rsidRPr="00F86EEB" w:rsidRDefault="009317D2" w:rsidP="009317D2">
            <w:pPr>
              <w:rPr>
                <w:rFonts w:cs="Arial"/>
                <w:sz w:val="20"/>
                <w:lang w:val="en-AU"/>
              </w:rPr>
            </w:pPr>
            <w:r w:rsidRPr="00F86EEB">
              <w:rPr>
                <w:rFonts w:cs="Arial"/>
                <w:sz w:val="20"/>
                <w:lang w:val="en-AU"/>
              </w:rPr>
              <w:t>(f) The essential compositi</w:t>
            </w:r>
            <w:r>
              <w:rPr>
                <w:rFonts w:cs="Arial"/>
                <w:sz w:val="20"/>
                <w:lang w:val="en-AU"/>
              </w:rPr>
              <w:t>on of infant formula and follow-</w:t>
            </w:r>
            <w:r w:rsidRPr="00F86EEB">
              <w:rPr>
                <w:rFonts w:cs="Arial"/>
                <w:sz w:val="20"/>
                <w:lang w:val="en-AU"/>
              </w:rPr>
              <w:t>on formula should be prescribed in regulation and must satisfy the nutritional requirements of infants.</w:t>
            </w:r>
          </w:p>
        </w:tc>
        <w:tc>
          <w:tcPr>
            <w:tcW w:w="3129" w:type="pct"/>
            <w:shd w:val="clear" w:color="auto" w:fill="F2F2F2" w:themeFill="background1" w:themeFillShade="F2"/>
          </w:tcPr>
          <w:p w14:paraId="7EC7109F" w14:textId="77777777" w:rsidR="009317D2" w:rsidRPr="00F86EEB" w:rsidRDefault="009317D2" w:rsidP="009317D2">
            <w:pPr>
              <w:spacing w:after="120"/>
              <w:rPr>
                <w:rFonts w:cs="Arial"/>
                <w:sz w:val="20"/>
                <w:lang w:val="en-AU"/>
              </w:rPr>
            </w:pPr>
            <w:r>
              <w:rPr>
                <w:sz w:val="20"/>
                <w:lang w:val="en-AU"/>
              </w:rPr>
              <w:t>Not applicable to this application</w:t>
            </w:r>
            <w:r w:rsidRPr="00F86EEB">
              <w:rPr>
                <w:sz w:val="20"/>
                <w:lang w:val="en-AU"/>
              </w:rPr>
              <w:t xml:space="preserve"> as the </w:t>
            </w:r>
            <w:r>
              <w:rPr>
                <w:sz w:val="20"/>
                <w:lang w:val="en-AU"/>
              </w:rPr>
              <w:t xml:space="preserve">proposed </w:t>
            </w:r>
            <w:r w:rsidRPr="00F86EEB">
              <w:rPr>
                <w:sz w:val="20"/>
                <w:lang w:val="en-AU"/>
              </w:rPr>
              <w:t xml:space="preserve">permission </w:t>
            </w:r>
            <w:r>
              <w:rPr>
                <w:sz w:val="20"/>
                <w:lang w:val="en-AU"/>
              </w:rPr>
              <w:t>is voluntary</w:t>
            </w:r>
            <w:r w:rsidRPr="00F86EEB">
              <w:rPr>
                <w:sz w:val="20"/>
                <w:lang w:val="en-AU"/>
              </w:rPr>
              <w:t>.</w:t>
            </w:r>
          </w:p>
        </w:tc>
      </w:tr>
      <w:tr w:rsidR="009317D2" w:rsidRPr="00932F72" w14:paraId="287E7D0A" w14:textId="77777777" w:rsidTr="002333A6">
        <w:tc>
          <w:tcPr>
            <w:tcW w:w="1871" w:type="pct"/>
            <w:shd w:val="clear" w:color="auto" w:fill="F2F2F2" w:themeFill="background1" w:themeFillShade="F2"/>
          </w:tcPr>
          <w:p w14:paraId="5EE09969" w14:textId="77777777" w:rsidR="009317D2" w:rsidRPr="00F86EEB" w:rsidRDefault="009317D2" w:rsidP="009317D2">
            <w:pPr>
              <w:rPr>
                <w:rFonts w:cs="Arial"/>
                <w:sz w:val="20"/>
                <w:lang w:val="en-AU"/>
              </w:rPr>
            </w:pPr>
            <w:r w:rsidRPr="00F86EEB">
              <w:rPr>
                <w:rFonts w:cs="Arial"/>
                <w:sz w:val="20"/>
                <w:lang w:val="en-AU"/>
              </w:rPr>
              <w:t xml:space="preserve">(g) Compositional requirements for infant formula and follow-on formula products should only be mandated in regulation where there is sufficient evidence to demonstrate that they are safe and essential </w:t>
            </w:r>
            <w:r w:rsidRPr="00F86EEB">
              <w:rPr>
                <w:rFonts w:cs="Arial"/>
                <w:sz w:val="20"/>
                <w:lang w:val="en-AU"/>
              </w:rPr>
              <w:lastRenderedPageBreak/>
              <w:t>for normal growth and development of infants.</w:t>
            </w:r>
          </w:p>
        </w:tc>
        <w:tc>
          <w:tcPr>
            <w:tcW w:w="3129" w:type="pct"/>
            <w:shd w:val="clear" w:color="auto" w:fill="F2F2F2" w:themeFill="background1" w:themeFillShade="F2"/>
          </w:tcPr>
          <w:p w14:paraId="696A279C" w14:textId="77777777" w:rsidR="009317D2" w:rsidRPr="00F86EEB" w:rsidRDefault="009317D2" w:rsidP="009317D2">
            <w:pPr>
              <w:spacing w:after="120"/>
              <w:rPr>
                <w:rFonts w:cs="Arial"/>
                <w:b/>
                <w:sz w:val="20"/>
                <w:lang w:val="en-AU"/>
              </w:rPr>
            </w:pPr>
            <w:r>
              <w:rPr>
                <w:sz w:val="20"/>
                <w:lang w:val="en-AU"/>
              </w:rPr>
              <w:lastRenderedPageBreak/>
              <w:t xml:space="preserve">Not applicable to this application </w:t>
            </w:r>
            <w:r w:rsidRPr="00F86EEB">
              <w:rPr>
                <w:sz w:val="20"/>
                <w:lang w:val="en-AU"/>
              </w:rPr>
              <w:t xml:space="preserve">as the </w:t>
            </w:r>
            <w:r>
              <w:rPr>
                <w:sz w:val="20"/>
                <w:lang w:val="en-AU"/>
              </w:rPr>
              <w:t xml:space="preserve">proposed </w:t>
            </w:r>
            <w:r w:rsidRPr="00F86EEB">
              <w:rPr>
                <w:sz w:val="20"/>
                <w:lang w:val="en-AU"/>
              </w:rPr>
              <w:t xml:space="preserve">permission </w:t>
            </w:r>
            <w:r>
              <w:rPr>
                <w:sz w:val="20"/>
                <w:lang w:val="en-AU"/>
              </w:rPr>
              <w:t>is voluntary</w:t>
            </w:r>
            <w:r w:rsidRPr="00F86EEB">
              <w:rPr>
                <w:sz w:val="20"/>
                <w:lang w:val="en-AU"/>
              </w:rPr>
              <w:t>.</w:t>
            </w:r>
          </w:p>
        </w:tc>
      </w:tr>
      <w:tr w:rsidR="009317D2" w:rsidRPr="00932F72" w14:paraId="3C64424B" w14:textId="77777777" w:rsidTr="002333A6">
        <w:tc>
          <w:tcPr>
            <w:tcW w:w="1871" w:type="pct"/>
          </w:tcPr>
          <w:p w14:paraId="178FBBA8" w14:textId="77777777" w:rsidR="009317D2" w:rsidRPr="00F86EEB" w:rsidRDefault="009317D2" w:rsidP="009317D2">
            <w:pPr>
              <w:rPr>
                <w:rFonts w:cs="Arial"/>
                <w:sz w:val="20"/>
                <w:lang w:val="en-AU"/>
              </w:rPr>
            </w:pPr>
            <w:r w:rsidRPr="00F86EEB">
              <w:rPr>
                <w:rFonts w:cs="Arial"/>
                <w:sz w:val="20"/>
                <w:lang w:val="en-AU"/>
              </w:rPr>
              <w:t>(i) Pre-market assessment, relative to principles (d) and (e), should be required for any substance proposed to be used in infant formula and follow-on formula that:</w:t>
            </w:r>
          </w:p>
          <w:p w14:paraId="001ED967" w14:textId="77777777" w:rsidR="009317D2" w:rsidRPr="00F86EEB" w:rsidRDefault="009317D2" w:rsidP="009317D2">
            <w:pPr>
              <w:ind w:left="284"/>
              <w:rPr>
                <w:rFonts w:cs="Arial"/>
                <w:sz w:val="20"/>
                <w:lang w:val="en-AU"/>
              </w:rPr>
            </w:pPr>
            <w:r w:rsidRPr="00F86EEB">
              <w:rPr>
                <w:rFonts w:cs="Arial"/>
                <w:sz w:val="20"/>
                <w:lang w:val="en-AU"/>
              </w:rPr>
              <w:t>i. does not have a history of safe use at the proposed level in these products in Australia and New Zealand; or</w:t>
            </w:r>
          </w:p>
          <w:p w14:paraId="3A86EED4" w14:textId="77777777" w:rsidR="009317D2" w:rsidRPr="00F86EEB" w:rsidRDefault="009317D2" w:rsidP="009317D2">
            <w:pPr>
              <w:ind w:left="284"/>
              <w:rPr>
                <w:rFonts w:cs="Arial"/>
                <w:sz w:val="20"/>
                <w:lang w:val="en-AU"/>
              </w:rPr>
            </w:pPr>
            <w:r w:rsidRPr="00F86EEB">
              <w:rPr>
                <w:rFonts w:cs="Arial"/>
                <w:sz w:val="20"/>
                <w:lang w:val="en-AU"/>
              </w:rPr>
              <w:t>ii. has a history of safe use in these products in Australia and New Zealand, but which, having regard to source, has a different form/structure, or is produced using a substantially different technique or technology.</w:t>
            </w:r>
          </w:p>
        </w:tc>
        <w:tc>
          <w:tcPr>
            <w:tcW w:w="3129" w:type="pct"/>
          </w:tcPr>
          <w:p w14:paraId="65850D83" w14:textId="45D6C70B" w:rsidR="009317D2" w:rsidRPr="00F86EEB" w:rsidRDefault="009B76B0" w:rsidP="009B76B0">
            <w:pPr>
              <w:spacing w:before="60"/>
              <w:rPr>
                <w:rFonts w:cs="Arial"/>
                <w:sz w:val="20"/>
                <w:lang w:val="en-AU"/>
              </w:rPr>
            </w:pPr>
            <w:r>
              <w:rPr>
                <w:rFonts w:cs="Arial"/>
                <w:sz w:val="20"/>
                <w:lang w:val="en-AU"/>
              </w:rPr>
              <w:t>A</w:t>
            </w:r>
            <w:r w:rsidR="009317D2">
              <w:rPr>
                <w:rFonts w:cs="Arial"/>
                <w:sz w:val="20"/>
                <w:lang w:val="en-AU"/>
              </w:rPr>
              <w:t xml:space="preserve"> comprehensive pre-market assessment </w:t>
            </w:r>
            <w:r>
              <w:rPr>
                <w:rFonts w:cs="Arial"/>
                <w:sz w:val="20"/>
                <w:lang w:val="en-AU"/>
              </w:rPr>
              <w:t xml:space="preserve">was undertaken </w:t>
            </w:r>
            <w:r w:rsidR="009317D2">
              <w:rPr>
                <w:rFonts w:cs="Arial"/>
                <w:sz w:val="20"/>
                <w:lang w:val="en-AU"/>
              </w:rPr>
              <w:t>because 2’FL and LNnT derived from GM technology do not have a history of safe used in Australia and New Zealand</w:t>
            </w:r>
            <w:r w:rsidR="009317D2" w:rsidRPr="00BF6782">
              <w:rPr>
                <w:rFonts w:cs="Arial"/>
                <w:sz w:val="20"/>
                <w:lang w:val="en-AU"/>
              </w:rPr>
              <w:t>. Our conclusions are summarised section 2.2.1, 2.2.2 and 2.2.3 of the Approval report</w:t>
            </w:r>
            <w:r w:rsidR="009317D2">
              <w:rPr>
                <w:rFonts w:cs="Arial"/>
                <w:sz w:val="20"/>
                <w:lang w:val="en-AU"/>
              </w:rPr>
              <w:t>.</w:t>
            </w:r>
          </w:p>
        </w:tc>
      </w:tr>
      <w:tr w:rsidR="009317D2" w:rsidRPr="00932F72" w14:paraId="59F303F7" w14:textId="77777777" w:rsidTr="002333A6">
        <w:trPr>
          <w:cantSplit/>
        </w:trPr>
        <w:tc>
          <w:tcPr>
            <w:tcW w:w="1871" w:type="pct"/>
          </w:tcPr>
          <w:p w14:paraId="52410607" w14:textId="77777777" w:rsidR="00E23A25" w:rsidRDefault="009317D2" w:rsidP="009317D2">
            <w:pPr>
              <w:rPr>
                <w:rFonts w:cs="Arial"/>
                <w:sz w:val="20"/>
                <w:lang w:val="en-AU"/>
              </w:rPr>
            </w:pPr>
            <w:r w:rsidRPr="00F86EEB">
              <w:rPr>
                <w:rFonts w:cs="Arial"/>
                <w:sz w:val="20"/>
                <w:lang w:val="en-AU"/>
              </w:rPr>
              <w:t xml:space="preserve">(j) 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 milk. </w:t>
            </w:r>
          </w:p>
          <w:p w14:paraId="0335E5AF" w14:textId="77777777" w:rsidR="00E23A25" w:rsidRDefault="00E23A25" w:rsidP="009317D2">
            <w:pPr>
              <w:rPr>
                <w:rFonts w:cs="Arial"/>
                <w:sz w:val="20"/>
                <w:lang w:val="en-AU"/>
              </w:rPr>
            </w:pPr>
          </w:p>
          <w:p w14:paraId="07B27D6F" w14:textId="77777777" w:rsidR="00E23A25" w:rsidRDefault="009317D2" w:rsidP="009317D2">
            <w:pPr>
              <w:rPr>
                <w:rFonts w:cs="Arial"/>
                <w:sz w:val="20"/>
                <w:lang w:val="en-AU"/>
              </w:rPr>
            </w:pPr>
            <w:r w:rsidRPr="00F86EEB">
              <w:rPr>
                <w:rFonts w:cs="Arial"/>
                <w:sz w:val="20"/>
                <w:lang w:val="en-AU"/>
              </w:rPr>
              <w:t xml:space="preserve">A substance’s role in normal growth and development is substantiated where there is appropriate evidence to link the physiological, biochemical and/or functional effects of the substance to specific health outcomes for infants, in infancy or childhood. </w:t>
            </w:r>
          </w:p>
          <w:p w14:paraId="2E76191B" w14:textId="77777777" w:rsidR="00E23A25" w:rsidRDefault="00E23A25" w:rsidP="009317D2">
            <w:pPr>
              <w:rPr>
                <w:rFonts w:cs="Arial"/>
                <w:sz w:val="20"/>
                <w:lang w:val="en-AU"/>
              </w:rPr>
            </w:pPr>
          </w:p>
          <w:p w14:paraId="6D4FF9B4" w14:textId="5B142256" w:rsidR="009317D2" w:rsidRPr="00F86EEB" w:rsidRDefault="009317D2" w:rsidP="009317D2">
            <w:pPr>
              <w:rPr>
                <w:rFonts w:cs="Arial"/>
                <w:sz w:val="20"/>
                <w:lang w:val="en-AU"/>
              </w:rPr>
            </w:pPr>
            <w:r w:rsidRPr="00F86EEB">
              <w:rPr>
                <w:rFonts w:cs="Arial"/>
                <w:sz w:val="20"/>
                <w:lang w:val="en-AU"/>
              </w:rPr>
              <w:t>Particular caution should be applied by the Authority where such links are less clear.</w:t>
            </w:r>
          </w:p>
        </w:tc>
        <w:tc>
          <w:tcPr>
            <w:tcW w:w="3129" w:type="pct"/>
          </w:tcPr>
          <w:p w14:paraId="7B611E03" w14:textId="45DA8FEE" w:rsidR="009B76B0" w:rsidRDefault="009317D2" w:rsidP="009317D2">
            <w:pPr>
              <w:rPr>
                <w:rFonts w:cs="Arial"/>
                <w:sz w:val="20"/>
                <w:lang w:val="en-AU"/>
              </w:rPr>
            </w:pPr>
            <w:r>
              <w:rPr>
                <w:rFonts w:cs="Arial"/>
                <w:sz w:val="20"/>
                <w:lang w:val="en-AU"/>
              </w:rPr>
              <w:t>Particular caution has been applied to the assessment</w:t>
            </w:r>
            <w:r w:rsidR="009B76B0">
              <w:rPr>
                <w:rFonts w:cs="Arial"/>
                <w:sz w:val="20"/>
                <w:lang w:val="en-AU"/>
              </w:rPr>
              <w:t xml:space="preserve">. When considering the </w:t>
            </w:r>
            <w:r w:rsidR="00E23A25">
              <w:rPr>
                <w:rFonts w:cs="Arial"/>
                <w:sz w:val="20"/>
                <w:lang w:val="en-AU"/>
              </w:rPr>
              <w:t xml:space="preserve">applicants suggested </w:t>
            </w:r>
            <w:r w:rsidRPr="00F86EEB">
              <w:rPr>
                <w:rFonts w:cs="Arial"/>
                <w:sz w:val="20"/>
                <w:lang w:val="en-AU"/>
              </w:rPr>
              <w:t>physiological, biochemical and/or functional effects of the substance</w:t>
            </w:r>
            <w:r w:rsidR="009B76B0">
              <w:rPr>
                <w:rFonts w:cs="Arial"/>
                <w:sz w:val="20"/>
                <w:lang w:val="en-AU"/>
              </w:rPr>
              <w:t>s</w:t>
            </w:r>
            <w:r w:rsidRPr="00F86EEB">
              <w:rPr>
                <w:rFonts w:cs="Arial"/>
                <w:sz w:val="20"/>
                <w:lang w:val="en-AU"/>
              </w:rPr>
              <w:t xml:space="preserve"> </w:t>
            </w:r>
            <w:r w:rsidR="009B76B0">
              <w:rPr>
                <w:rFonts w:cs="Arial"/>
                <w:sz w:val="20"/>
                <w:lang w:val="en-AU"/>
              </w:rPr>
              <w:t xml:space="preserve">and </w:t>
            </w:r>
            <w:r w:rsidRPr="00F86EEB">
              <w:rPr>
                <w:rFonts w:cs="Arial"/>
                <w:sz w:val="20"/>
                <w:lang w:val="en-AU"/>
              </w:rPr>
              <w:t>specific health outcomes</w:t>
            </w:r>
            <w:r w:rsidR="00E23A25">
              <w:rPr>
                <w:rFonts w:cs="Arial"/>
                <w:sz w:val="20"/>
                <w:lang w:val="en-AU"/>
              </w:rPr>
              <w:t>,</w:t>
            </w:r>
            <w:r>
              <w:rPr>
                <w:rFonts w:cs="Arial"/>
                <w:sz w:val="20"/>
                <w:lang w:val="en-AU"/>
              </w:rPr>
              <w:t xml:space="preserve"> </w:t>
            </w:r>
            <w:r w:rsidR="009B76B0">
              <w:rPr>
                <w:rFonts w:cs="Arial"/>
                <w:sz w:val="20"/>
                <w:lang w:val="en-AU"/>
              </w:rPr>
              <w:t xml:space="preserve">FSANZ concluded there is limited evidence to </w:t>
            </w:r>
            <w:r w:rsidR="009B76B0" w:rsidRPr="009B76B0">
              <w:rPr>
                <w:rFonts w:cs="Arial"/>
                <w:sz w:val="20"/>
                <w:lang w:val="en-AU"/>
              </w:rPr>
              <w:t xml:space="preserve">support </w:t>
            </w:r>
            <w:r w:rsidR="00E23A25">
              <w:rPr>
                <w:rFonts w:cs="Arial"/>
                <w:sz w:val="20"/>
                <w:lang w:val="en-AU"/>
              </w:rPr>
              <w:t>a substantiated role of 2’-FL and LNnT for the following health effects:</w:t>
            </w:r>
            <w:r w:rsidR="009B76B0" w:rsidRPr="009B76B0">
              <w:rPr>
                <w:rFonts w:cs="Arial"/>
                <w:sz w:val="20"/>
                <w:lang w:val="en-AU"/>
              </w:rPr>
              <w:t xml:space="preserve"> immune modulation, improved barrier function and alleviation of allergic responses.</w:t>
            </w:r>
          </w:p>
          <w:p w14:paraId="22964B99" w14:textId="3DFE698B" w:rsidR="009B76B0" w:rsidRDefault="009B76B0" w:rsidP="009317D2">
            <w:pPr>
              <w:rPr>
                <w:rFonts w:cs="Arial"/>
                <w:sz w:val="20"/>
                <w:lang w:val="en-AU"/>
              </w:rPr>
            </w:pPr>
          </w:p>
          <w:p w14:paraId="21ABA970" w14:textId="1008A285" w:rsidR="002542D7" w:rsidRDefault="002542D7" w:rsidP="009317D2">
            <w:pPr>
              <w:rPr>
                <w:i/>
                <w:color w:val="000000" w:themeColor="text1"/>
                <w:sz w:val="20"/>
                <w:szCs w:val="20"/>
              </w:rPr>
            </w:pPr>
            <w:r w:rsidRPr="00E23A25">
              <w:rPr>
                <w:rFonts w:cs="Arial"/>
                <w:sz w:val="20"/>
                <w:szCs w:val="20"/>
                <w:lang w:val="en-AU"/>
              </w:rPr>
              <w:t>T</w:t>
            </w:r>
            <w:r w:rsidR="009B76B0" w:rsidRPr="00E23A25">
              <w:rPr>
                <w:rFonts w:cs="Arial"/>
                <w:sz w:val="20"/>
                <w:szCs w:val="20"/>
                <w:lang w:val="en-AU"/>
              </w:rPr>
              <w:t>he assessment determine</w:t>
            </w:r>
            <w:r w:rsidRPr="00E23A25">
              <w:rPr>
                <w:rFonts w:cs="Arial"/>
                <w:sz w:val="20"/>
                <w:szCs w:val="20"/>
                <w:lang w:val="en-AU"/>
              </w:rPr>
              <w:t>d</w:t>
            </w:r>
            <w:r w:rsidR="009B76B0" w:rsidRPr="00E23A25">
              <w:rPr>
                <w:rFonts w:cs="Arial"/>
                <w:sz w:val="20"/>
                <w:szCs w:val="20"/>
                <w:lang w:val="en-AU"/>
              </w:rPr>
              <w:t xml:space="preserve"> that </w:t>
            </w:r>
            <w:r w:rsidRPr="00E23A25">
              <w:rPr>
                <w:rFonts w:cs="Arial"/>
                <w:sz w:val="20"/>
                <w:szCs w:val="20"/>
                <w:lang w:val="en-AU"/>
              </w:rPr>
              <w:t xml:space="preserve">evidence substantiates a </w:t>
            </w:r>
            <w:r w:rsidRPr="00E23A25">
              <w:rPr>
                <w:rFonts w:cs="Arial"/>
                <w:sz w:val="20"/>
                <w:szCs w:val="20"/>
              </w:rPr>
              <w:t>specific binding mechanism</w:t>
            </w:r>
            <w:r w:rsidR="00E23A25">
              <w:rPr>
                <w:rFonts w:cs="Arial"/>
                <w:sz w:val="20"/>
                <w:szCs w:val="20"/>
              </w:rPr>
              <w:t>;</w:t>
            </w:r>
            <w:r w:rsidRPr="00E23A25">
              <w:rPr>
                <w:rFonts w:cs="Arial"/>
                <w:sz w:val="20"/>
                <w:szCs w:val="20"/>
              </w:rPr>
              <w:t xml:space="preserve"> whereby 2’</w:t>
            </w:r>
            <w:r w:rsidR="00E23A25">
              <w:rPr>
                <w:rFonts w:cs="Arial"/>
                <w:sz w:val="20"/>
                <w:szCs w:val="20"/>
              </w:rPr>
              <w:t>-</w:t>
            </w:r>
            <w:r w:rsidRPr="00E23A25">
              <w:rPr>
                <w:rFonts w:cs="Arial"/>
                <w:sz w:val="20"/>
                <w:szCs w:val="20"/>
              </w:rPr>
              <w:t>FL mimics the intestinal binding site of invasive campylobacter and inhibits binding</w:t>
            </w:r>
            <w:r w:rsidR="00E23A25">
              <w:rPr>
                <w:rFonts w:cs="Arial"/>
                <w:sz w:val="20"/>
                <w:szCs w:val="20"/>
              </w:rPr>
              <w:t>,</w:t>
            </w:r>
            <w:r w:rsidRPr="00E23A25">
              <w:rPr>
                <w:rFonts w:cs="Arial"/>
                <w:sz w:val="20"/>
                <w:szCs w:val="20"/>
              </w:rPr>
              <w:t xml:space="preserve"> resulting in p</w:t>
            </w:r>
            <w:r w:rsidR="009317D2" w:rsidRPr="00E23A25">
              <w:rPr>
                <w:rFonts w:cs="Arial"/>
                <w:sz w:val="20"/>
                <w:szCs w:val="20"/>
                <w:lang w:val="en-AU"/>
              </w:rPr>
              <w:t xml:space="preserve">otential for </w:t>
            </w:r>
            <w:r w:rsidR="009317D2" w:rsidRPr="00E23A25">
              <w:rPr>
                <w:color w:val="000000" w:themeColor="text1"/>
                <w:sz w:val="20"/>
                <w:szCs w:val="20"/>
              </w:rPr>
              <w:t xml:space="preserve">reduction in severity of an invasive </w:t>
            </w:r>
            <w:r w:rsidR="009317D2" w:rsidRPr="00E23A25">
              <w:rPr>
                <w:i/>
                <w:color w:val="000000" w:themeColor="text1"/>
                <w:sz w:val="20"/>
                <w:szCs w:val="20"/>
              </w:rPr>
              <w:t>C. jejuni</w:t>
            </w:r>
            <w:r w:rsidRPr="00E23A25">
              <w:rPr>
                <w:color w:val="000000" w:themeColor="text1"/>
                <w:sz w:val="20"/>
                <w:szCs w:val="20"/>
              </w:rPr>
              <w:t xml:space="preserve"> infection. The</w:t>
            </w:r>
            <w:r>
              <w:rPr>
                <w:color w:val="000000" w:themeColor="text1"/>
                <w:sz w:val="20"/>
                <w:szCs w:val="20"/>
              </w:rPr>
              <w:t xml:space="preserve"> assessment also concludes this effect is limited to the 2’Fl and invasive strains of </w:t>
            </w:r>
            <w:r w:rsidRPr="00547C5D">
              <w:rPr>
                <w:i/>
                <w:color w:val="000000" w:themeColor="text1"/>
                <w:sz w:val="20"/>
                <w:szCs w:val="20"/>
              </w:rPr>
              <w:t>C. jejuni</w:t>
            </w:r>
            <w:r>
              <w:rPr>
                <w:i/>
                <w:color w:val="000000" w:themeColor="text1"/>
                <w:sz w:val="20"/>
                <w:szCs w:val="20"/>
              </w:rPr>
              <w:t xml:space="preserve">. </w:t>
            </w:r>
          </w:p>
          <w:p w14:paraId="6168A9E9" w14:textId="77777777" w:rsidR="002542D7" w:rsidRDefault="002542D7" w:rsidP="009317D2">
            <w:pPr>
              <w:rPr>
                <w:i/>
                <w:color w:val="000000" w:themeColor="text1"/>
                <w:sz w:val="20"/>
                <w:szCs w:val="20"/>
              </w:rPr>
            </w:pPr>
          </w:p>
          <w:p w14:paraId="302B7304" w14:textId="3AB00A50" w:rsidR="009317D2" w:rsidRPr="00547C5D" w:rsidRDefault="009317D2" w:rsidP="009317D2">
            <w:pPr>
              <w:rPr>
                <w:sz w:val="20"/>
                <w:szCs w:val="20"/>
              </w:rPr>
            </w:pPr>
            <w:r>
              <w:rPr>
                <w:color w:val="000000" w:themeColor="text1"/>
                <w:sz w:val="20"/>
                <w:szCs w:val="20"/>
              </w:rPr>
              <w:t xml:space="preserve">As explained in the </w:t>
            </w:r>
            <w:r w:rsidR="002542D7">
              <w:rPr>
                <w:color w:val="000000" w:themeColor="text1"/>
                <w:sz w:val="20"/>
                <w:szCs w:val="20"/>
              </w:rPr>
              <w:t xml:space="preserve">report </w:t>
            </w:r>
            <w:r>
              <w:rPr>
                <w:color w:val="000000" w:themeColor="text1"/>
                <w:sz w:val="20"/>
                <w:szCs w:val="20"/>
              </w:rPr>
              <w:t>micro section, this is nearly impossible to do from these effects.</w:t>
            </w:r>
          </w:p>
          <w:p w14:paraId="0DE8276A" w14:textId="77777777" w:rsidR="009317D2" w:rsidRDefault="009317D2" w:rsidP="009317D2">
            <w:pPr>
              <w:pStyle w:val="FSBullet1"/>
              <w:numPr>
                <w:ilvl w:val="0"/>
                <w:numId w:val="0"/>
              </w:numPr>
              <w:rPr>
                <w:highlight w:val="yellow"/>
              </w:rPr>
            </w:pPr>
          </w:p>
          <w:p w14:paraId="1E3CC183" w14:textId="77777777" w:rsidR="009317D2" w:rsidRPr="007F1EA4" w:rsidRDefault="009317D2" w:rsidP="009317D2">
            <w:pPr>
              <w:rPr>
                <w:rFonts w:cs="Arial"/>
                <w:sz w:val="20"/>
                <w:lang w:val="en-AU"/>
              </w:rPr>
            </w:pPr>
            <w:r w:rsidRPr="00BF6782">
              <w:rPr>
                <w:sz w:val="20"/>
                <w:szCs w:val="20"/>
                <w:lang w:bidi="ar-SA"/>
              </w:rPr>
              <w:t>However, taken together, the identical nature and levels of these oligosaccharides at found in human milk, and the demonstrated favourable health effects</w:t>
            </w:r>
            <w:r w:rsidRPr="00BF6782">
              <w:rPr>
                <w:rFonts w:cs="Arial"/>
                <w:sz w:val="20"/>
                <w:szCs w:val="20"/>
                <w:lang w:val="en-AU"/>
              </w:rPr>
              <w:t xml:space="preserve"> consistent</w:t>
            </w:r>
            <w:r w:rsidRPr="007F1EA4">
              <w:rPr>
                <w:rFonts w:cs="Arial"/>
                <w:sz w:val="20"/>
                <w:szCs w:val="20"/>
                <w:lang w:val="en-AU"/>
              </w:rPr>
              <w:t xml:space="preserve"> with a voluntary compositional</w:t>
            </w:r>
            <w:r w:rsidRPr="007F1EA4">
              <w:rPr>
                <w:rFonts w:cs="Arial"/>
                <w:sz w:val="20"/>
                <w:lang w:val="en-AU"/>
              </w:rPr>
              <w:t xml:space="preserve"> permission</w:t>
            </w:r>
            <w:r>
              <w:rPr>
                <w:sz w:val="20"/>
                <w:szCs w:val="20"/>
                <w:lang w:bidi="ar-SA"/>
              </w:rPr>
              <w:t xml:space="preserve">, </w:t>
            </w:r>
            <w:r w:rsidRPr="007F1EA4">
              <w:rPr>
                <w:sz w:val="20"/>
                <w:szCs w:val="20"/>
                <w:lang w:val="en-AU" w:bidi="ar-SA"/>
              </w:rPr>
              <w:t xml:space="preserve">FSANZ concluded that </w:t>
            </w:r>
            <w:r>
              <w:rPr>
                <w:sz w:val="20"/>
                <w:szCs w:val="20"/>
                <w:lang w:val="en-AU" w:bidi="ar-SA"/>
              </w:rPr>
              <w:t xml:space="preserve">permitting </w:t>
            </w:r>
            <w:r w:rsidRPr="007F1EA4">
              <w:rPr>
                <w:sz w:val="20"/>
                <w:szCs w:val="20"/>
                <w:lang w:val="en-AU" w:bidi="ar-SA"/>
              </w:rPr>
              <w:t xml:space="preserve">the addition of </w:t>
            </w:r>
            <w:r w:rsidRPr="007F1EA4">
              <w:rPr>
                <w:rFonts w:cs="Arial"/>
                <w:sz w:val="20"/>
                <w:szCs w:val="20"/>
                <w:lang w:val="en-AU"/>
              </w:rPr>
              <w:t>2′-FL alone or combined with LNnT</w:t>
            </w:r>
            <w:r w:rsidRPr="007F1EA4">
              <w:rPr>
                <w:rFonts w:cs="Arial"/>
                <w:sz w:val="20"/>
                <w:lang w:val="en-AU"/>
              </w:rPr>
              <w:t xml:space="preserve">, </w:t>
            </w:r>
            <w:r>
              <w:rPr>
                <w:rFonts w:cs="Arial"/>
                <w:sz w:val="20"/>
                <w:lang w:val="en-AU"/>
              </w:rPr>
              <w:t xml:space="preserve">would </w:t>
            </w:r>
            <w:r w:rsidRPr="007F1EA4">
              <w:rPr>
                <w:rFonts w:cs="Arial"/>
                <w:sz w:val="20"/>
                <w:lang w:val="en-AU"/>
              </w:rPr>
              <w:t>provid</w:t>
            </w:r>
            <w:r>
              <w:rPr>
                <w:rFonts w:cs="Arial"/>
                <w:sz w:val="20"/>
                <w:lang w:val="en-AU"/>
              </w:rPr>
              <w:t>e</w:t>
            </w:r>
            <w:r w:rsidRPr="007F1EA4">
              <w:rPr>
                <w:rFonts w:cs="Arial"/>
                <w:sz w:val="20"/>
                <w:lang w:val="en-AU"/>
              </w:rPr>
              <w:t xml:space="preserve"> potential beneficial health outcomes in infants. </w:t>
            </w:r>
          </w:p>
          <w:p w14:paraId="1BD87451" w14:textId="77777777" w:rsidR="009317D2" w:rsidRPr="00142327" w:rsidRDefault="009317D2" w:rsidP="009317D2">
            <w:pPr>
              <w:rPr>
                <w:sz w:val="20"/>
                <w:szCs w:val="20"/>
                <w:lang w:val="en-AU" w:bidi="ar-SA"/>
              </w:rPr>
            </w:pPr>
          </w:p>
        </w:tc>
      </w:tr>
      <w:tr w:rsidR="009D1CB9" w:rsidRPr="00932F72" w14:paraId="6D0BE1EF" w14:textId="77777777" w:rsidTr="002333A6">
        <w:trPr>
          <w:cantSplit/>
        </w:trPr>
        <w:tc>
          <w:tcPr>
            <w:tcW w:w="1871" w:type="pct"/>
          </w:tcPr>
          <w:p w14:paraId="5AEC11F1" w14:textId="77777777" w:rsidR="009D1CB9" w:rsidRPr="00F86EEB" w:rsidRDefault="009D1CB9" w:rsidP="009D1CB9">
            <w:pPr>
              <w:rPr>
                <w:rFonts w:cs="Arial"/>
                <w:sz w:val="20"/>
                <w:lang w:val="en-AU"/>
              </w:rPr>
            </w:pPr>
            <w:r w:rsidRPr="00F86EEB">
              <w:rPr>
                <w:rFonts w:cs="Arial"/>
                <w:sz w:val="20"/>
                <w:lang w:val="en-AU"/>
              </w:rPr>
              <w:t>(k) The labelling and advertising of infant formula products should be consistent with the World Health Organization International Code of Marketing of Breast Milk Substitutes as implemented in Australia and New Zealand.</w:t>
            </w:r>
          </w:p>
        </w:tc>
        <w:tc>
          <w:tcPr>
            <w:tcW w:w="3129" w:type="pct"/>
          </w:tcPr>
          <w:p w14:paraId="2D792404" w14:textId="77777777" w:rsidR="009D1CB9" w:rsidRDefault="009D1CB9" w:rsidP="009D1CB9">
            <w:pPr>
              <w:spacing w:after="120"/>
              <w:rPr>
                <w:sz w:val="20"/>
                <w:szCs w:val="20"/>
                <w:lang w:bidi="ar-SA"/>
              </w:rPr>
            </w:pPr>
            <w:r>
              <w:rPr>
                <w:sz w:val="20"/>
                <w:szCs w:val="20"/>
                <w:lang w:bidi="ar-SA"/>
              </w:rPr>
              <w:t>E</w:t>
            </w:r>
            <w:r w:rsidRPr="00D836AD">
              <w:rPr>
                <w:sz w:val="20"/>
                <w:szCs w:val="20"/>
                <w:lang w:bidi="ar-SA"/>
              </w:rPr>
              <w:t xml:space="preserve">xisting </w:t>
            </w:r>
            <w:r>
              <w:rPr>
                <w:sz w:val="20"/>
                <w:szCs w:val="20"/>
                <w:lang w:bidi="ar-SA"/>
              </w:rPr>
              <w:t xml:space="preserve">labelling requirements which </w:t>
            </w:r>
            <w:r w:rsidRPr="00D836AD">
              <w:rPr>
                <w:sz w:val="20"/>
                <w:szCs w:val="20"/>
                <w:lang w:bidi="ar-SA"/>
              </w:rPr>
              <w:t>would apply</w:t>
            </w:r>
            <w:r w:rsidRPr="00D836AD">
              <w:rPr>
                <w:rFonts w:cs="Arial"/>
                <w:sz w:val="20"/>
                <w:lang w:val="en-AU"/>
              </w:rPr>
              <w:t xml:space="preserve"> to the proposed addition of 2</w:t>
            </w:r>
            <w:r>
              <w:rPr>
                <w:rFonts w:cs="Arial"/>
                <w:sz w:val="20"/>
                <w:lang w:val="en-AU"/>
              </w:rPr>
              <w:t>′</w:t>
            </w:r>
            <w:r w:rsidRPr="00D836AD">
              <w:rPr>
                <w:rFonts w:cs="Arial"/>
                <w:sz w:val="20"/>
                <w:lang w:val="en-AU"/>
              </w:rPr>
              <w:t>-FL and LNnT</w:t>
            </w:r>
            <w:r>
              <w:rPr>
                <w:rFonts w:cs="Arial"/>
                <w:sz w:val="20"/>
                <w:lang w:val="en-AU"/>
              </w:rPr>
              <w:t xml:space="preserve"> </w:t>
            </w:r>
            <w:r>
              <w:rPr>
                <w:sz w:val="20"/>
                <w:szCs w:val="20"/>
                <w:lang w:bidi="ar-SA"/>
              </w:rPr>
              <w:t>support this specific policy principle (see section 2.3.</w:t>
            </w:r>
            <w:r w:rsidR="00BF6782">
              <w:rPr>
                <w:sz w:val="20"/>
                <w:szCs w:val="20"/>
                <w:lang w:bidi="ar-SA"/>
              </w:rPr>
              <w:t>4</w:t>
            </w:r>
            <w:r>
              <w:rPr>
                <w:sz w:val="20"/>
                <w:szCs w:val="20"/>
                <w:lang w:bidi="ar-SA"/>
              </w:rPr>
              <w:t xml:space="preserve"> of the </w:t>
            </w:r>
            <w:r w:rsidR="00BF6782">
              <w:rPr>
                <w:sz w:val="20"/>
                <w:szCs w:val="20"/>
                <w:lang w:bidi="ar-SA"/>
              </w:rPr>
              <w:t xml:space="preserve">Approval </w:t>
            </w:r>
            <w:r>
              <w:rPr>
                <w:sz w:val="20"/>
                <w:szCs w:val="20"/>
                <w:lang w:bidi="ar-SA"/>
              </w:rPr>
              <w:t>report for existing labelling requirements).</w:t>
            </w:r>
          </w:p>
          <w:p w14:paraId="1B6782A6" w14:textId="279320AC" w:rsidR="009D1CB9" w:rsidRDefault="009D1CB9" w:rsidP="001D6F0D">
            <w:pPr>
              <w:spacing w:after="120"/>
              <w:rPr>
                <w:sz w:val="20"/>
                <w:szCs w:val="20"/>
                <w:lang w:val="en-AU" w:bidi="ar-SA"/>
              </w:rPr>
            </w:pPr>
            <w:r>
              <w:rPr>
                <w:sz w:val="20"/>
                <w:szCs w:val="20"/>
                <w:lang w:bidi="ar-SA"/>
              </w:rPr>
              <w:t>A specific prohibition of terms such as ‘human milk identical oligosaccharide’ is proposed – see further comments to specific principle (l) below.</w:t>
            </w:r>
          </w:p>
        </w:tc>
      </w:tr>
      <w:tr w:rsidR="009D1CB9" w:rsidRPr="00932F72" w14:paraId="290E5F14" w14:textId="77777777" w:rsidTr="002333A6">
        <w:tc>
          <w:tcPr>
            <w:tcW w:w="1871" w:type="pct"/>
          </w:tcPr>
          <w:p w14:paraId="7BE78089" w14:textId="77777777" w:rsidR="009D1CB9" w:rsidRDefault="009D1CB9" w:rsidP="009D1CB9">
            <w:pPr>
              <w:rPr>
                <w:rFonts w:cs="Arial"/>
                <w:sz w:val="20"/>
                <w:lang w:val="en-AU"/>
              </w:rPr>
            </w:pPr>
            <w:r w:rsidRPr="00F86EEB">
              <w:rPr>
                <w:rFonts w:cs="Arial"/>
                <w:sz w:val="20"/>
                <w:lang w:val="en-AU"/>
              </w:rPr>
              <w:t>(l) The labelling and advertising of infant formula products should not represent those products as an equivalent to, or better than, breast milk.</w:t>
            </w:r>
          </w:p>
        </w:tc>
        <w:tc>
          <w:tcPr>
            <w:tcW w:w="3129" w:type="pct"/>
          </w:tcPr>
          <w:p w14:paraId="7B3B0B91" w14:textId="4250667F" w:rsidR="00BF6782" w:rsidRPr="00BF6782" w:rsidRDefault="009D1CB9" w:rsidP="009D1CB9">
            <w:pPr>
              <w:widowControl/>
              <w:spacing w:after="120"/>
              <w:rPr>
                <w:rFonts w:cs="Arial"/>
                <w:sz w:val="20"/>
                <w:szCs w:val="20"/>
              </w:rPr>
            </w:pPr>
            <w:r>
              <w:rPr>
                <w:rFonts w:cs="Arial"/>
                <w:sz w:val="20"/>
                <w:szCs w:val="20"/>
              </w:rPr>
              <w:t>FSANZ has</w:t>
            </w:r>
            <w:r w:rsidRPr="00FA5474">
              <w:rPr>
                <w:rFonts w:cs="Arial"/>
                <w:sz w:val="20"/>
                <w:szCs w:val="20"/>
              </w:rPr>
              <w:t xml:space="preserve"> specifically prohibit</w:t>
            </w:r>
            <w:r>
              <w:rPr>
                <w:rFonts w:cs="Arial"/>
                <w:sz w:val="20"/>
                <w:szCs w:val="20"/>
              </w:rPr>
              <w:t>ed</w:t>
            </w:r>
            <w:r w:rsidRPr="00FA5474">
              <w:rPr>
                <w:rFonts w:cs="Arial"/>
                <w:sz w:val="20"/>
                <w:szCs w:val="20"/>
              </w:rPr>
              <w:t xml:space="preserve"> reference to ‘human milk identical oligosaccharide’, ‘human milk </w:t>
            </w:r>
            <w:r w:rsidRPr="00BF6782">
              <w:rPr>
                <w:rFonts w:cs="Arial"/>
                <w:sz w:val="20"/>
                <w:szCs w:val="20"/>
              </w:rPr>
              <w:t>oligosaccharide’, ‘HM</w:t>
            </w:r>
            <w:r w:rsidR="001D6F0D">
              <w:rPr>
                <w:rFonts w:cs="Arial"/>
                <w:sz w:val="20"/>
                <w:szCs w:val="20"/>
              </w:rPr>
              <w:t>i</w:t>
            </w:r>
            <w:r w:rsidRPr="00BF6782">
              <w:rPr>
                <w:rFonts w:cs="Arial"/>
                <w:sz w:val="20"/>
                <w:szCs w:val="20"/>
              </w:rPr>
              <w:t xml:space="preserve">O’ or ‘HMO’ (or words or abbreviations of similar effect) on infant formula products. </w:t>
            </w:r>
            <w:r w:rsidR="00BF6782" w:rsidRPr="00BF6782">
              <w:rPr>
                <w:rFonts w:cs="Arial"/>
                <w:sz w:val="20"/>
                <w:szCs w:val="20"/>
              </w:rPr>
              <w:t xml:space="preserve">The permitted approach allows use of the abbreviated chemical name/acronym or the generic term ‘oligosaccharides’. </w:t>
            </w:r>
          </w:p>
          <w:p w14:paraId="2337A700" w14:textId="77777777" w:rsidR="009D1CB9" w:rsidRDefault="009D1CB9" w:rsidP="009D1CB9">
            <w:pPr>
              <w:widowControl/>
              <w:spacing w:after="120"/>
              <w:rPr>
                <w:sz w:val="20"/>
                <w:szCs w:val="20"/>
                <w:lang w:val="en-AU" w:bidi="ar-SA"/>
              </w:rPr>
            </w:pPr>
            <w:r>
              <w:rPr>
                <w:sz w:val="20"/>
                <w:szCs w:val="20"/>
                <w:lang w:bidi="ar-SA"/>
              </w:rPr>
              <w:t>Although the intent of subs</w:t>
            </w:r>
            <w:r w:rsidRPr="00D836AD">
              <w:rPr>
                <w:sz w:val="20"/>
                <w:szCs w:val="20"/>
                <w:lang w:bidi="ar-SA"/>
              </w:rPr>
              <w:t>ection 2.9.1—24</w:t>
            </w:r>
            <w:r>
              <w:rPr>
                <w:sz w:val="20"/>
                <w:szCs w:val="20"/>
                <w:lang w:bidi="ar-SA"/>
              </w:rPr>
              <w:t>(c)</w:t>
            </w:r>
            <w:r w:rsidRPr="00D836AD">
              <w:rPr>
                <w:sz w:val="20"/>
                <w:szCs w:val="20"/>
                <w:lang w:bidi="ar-SA"/>
              </w:rPr>
              <w:t xml:space="preserve"> of the </w:t>
            </w:r>
            <w:r>
              <w:rPr>
                <w:sz w:val="20"/>
                <w:szCs w:val="20"/>
                <w:lang w:bidi="ar-SA"/>
              </w:rPr>
              <w:t xml:space="preserve">Code is to prohibit such terminology on the label of infant </w:t>
            </w:r>
            <w:r w:rsidRPr="00272431">
              <w:rPr>
                <w:sz w:val="20"/>
                <w:szCs w:val="20"/>
                <w:lang w:bidi="ar-SA"/>
              </w:rPr>
              <w:t xml:space="preserve">formula products, FSANZ considers a specific prohibition would </w:t>
            </w:r>
            <w:r w:rsidRPr="00272431">
              <w:rPr>
                <w:rFonts w:cs="Arial"/>
                <w:sz w:val="20"/>
                <w:szCs w:val="20"/>
              </w:rPr>
              <w:t>communicate more clearly that such terminology is inconsistent</w:t>
            </w:r>
            <w:r>
              <w:rPr>
                <w:rFonts w:cs="Arial"/>
                <w:sz w:val="20"/>
                <w:szCs w:val="20"/>
              </w:rPr>
              <w:t xml:space="preserve"> with specific policy principle (l).</w:t>
            </w:r>
          </w:p>
        </w:tc>
      </w:tr>
      <w:tr w:rsidR="009D1CB9" w:rsidRPr="00932F72" w14:paraId="0E34E59C" w14:textId="77777777" w:rsidTr="002333A6">
        <w:trPr>
          <w:trHeight w:val="1055"/>
        </w:trPr>
        <w:tc>
          <w:tcPr>
            <w:tcW w:w="1871" w:type="pct"/>
          </w:tcPr>
          <w:p w14:paraId="27623EF6" w14:textId="77777777" w:rsidR="009D1CB9" w:rsidRPr="00F86EEB" w:rsidRDefault="009D1CB9" w:rsidP="009D1CB9">
            <w:pPr>
              <w:rPr>
                <w:rFonts w:cs="Arial"/>
                <w:sz w:val="20"/>
                <w:lang w:val="en-AU"/>
              </w:rPr>
            </w:pPr>
            <w:r w:rsidRPr="00F86EEB">
              <w:rPr>
                <w:rFonts w:cs="Arial"/>
                <w:sz w:val="20"/>
                <w:lang w:val="en-AU"/>
              </w:rPr>
              <w:t>(m) The labelling and advertising of infant formula products should provide information on the appropriate and safe use of those products.</w:t>
            </w:r>
          </w:p>
        </w:tc>
        <w:tc>
          <w:tcPr>
            <w:tcW w:w="3129" w:type="pct"/>
          </w:tcPr>
          <w:p w14:paraId="7F161BC9" w14:textId="77777777" w:rsidR="009D1CB9" w:rsidRPr="00D836AD" w:rsidRDefault="009D1CB9" w:rsidP="009D1CB9">
            <w:pPr>
              <w:spacing w:after="120"/>
              <w:rPr>
                <w:sz w:val="20"/>
                <w:szCs w:val="20"/>
                <w:lang w:bidi="ar-SA"/>
              </w:rPr>
            </w:pPr>
            <w:r w:rsidRPr="00D836AD">
              <w:rPr>
                <w:sz w:val="20"/>
                <w:szCs w:val="20"/>
                <w:lang w:bidi="ar-SA"/>
              </w:rPr>
              <w:t xml:space="preserve">The proposed voluntary </w:t>
            </w:r>
            <w:r>
              <w:rPr>
                <w:sz w:val="20"/>
                <w:szCs w:val="20"/>
                <w:lang w:bidi="ar-SA"/>
              </w:rPr>
              <w:t xml:space="preserve">addition of 2′-FL and LNnT </w:t>
            </w:r>
            <w:r w:rsidRPr="00D836AD">
              <w:rPr>
                <w:sz w:val="20"/>
                <w:szCs w:val="20"/>
                <w:lang w:bidi="ar-SA"/>
              </w:rPr>
              <w:t xml:space="preserve">to infant formula products would be subject to existing labelling requirements in Standard 2.9.1 </w:t>
            </w:r>
            <w:r>
              <w:rPr>
                <w:sz w:val="20"/>
                <w:szCs w:val="20"/>
                <w:lang w:bidi="ar-SA"/>
              </w:rPr>
              <w:t>which provide information on the safe and appropriate use of infant formula products.</w:t>
            </w:r>
          </w:p>
        </w:tc>
      </w:tr>
      <w:tr w:rsidR="009D1CB9" w:rsidRPr="00932F72" w14:paraId="75D75583" w14:textId="77777777" w:rsidTr="002333A6">
        <w:tc>
          <w:tcPr>
            <w:tcW w:w="1871" w:type="pct"/>
          </w:tcPr>
          <w:p w14:paraId="1E594141" w14:textId="77777777" w:rsidR="009D1CB9" w:rsidRPr="00F86EEB" w:rsidRDefault="009D1CB9" w:rsidP="009D1CB9">
            <w:pPr>
              <w:rPr>
                <w:rFonts w:cs="Arial"/>
                <w:sz w:val="20"/>
                <w:lang w:val="en-AU"/>
              </w:rPr>
            </w:pPr>
            <w:r w:rsidRPr="00F86EEB">
              <w:rPr>
                <w:rFonts w:cs="Arial"/>
                <w:sz w:val="20"/>
                <w:lang w:val="en-AU"/>
              </w:rPr>
              <w:t>(n) The Authority should:</w:t>
            </w:r>
          </w:p>
          <w:p w14:paraId="61291B33" w14:textId="77777777" w:rsidR="009D1CB9" w:rsidRPr="00F86EEB" w:rsidRDefault="009D1CB9" w:rsidP="009D1CB9">
            <w:pPr>
              <w:ind w:left="426"/>
              <w:rPr>
                <w:rFonts w:cs="Arial"/>
                <w:sz w:val="20"/>
                <w:lang w:val="en-AU"/>
              </w:rPr>
            </w:pPr>
            <w:r w:rsidRPr="00F86EEB">
              <w:rPr>
                <w:rFonts w:cs="Arial"/>
                <w:sz w:val="20"/>
                <w:lang w:val="en-AU"/>
              </w:rPr>
              <w:t>i. ensure that the prohibitions and restrictions on nutrient content, health, therapeutic, and prophylactic claims in the Food Standards Code are clear and effective for infant formula products; and</w:t>
            </w:r>
          </w:p>
          <w:p w14:paraId="01056366" w14:textId="77777777" w:rsidR="009D1CB9" w:rsidRPr="00F86EEB" w:rsidRDefault="009D1CB9" w:rsidP="009D1CB9">
            <w:pPr>
              <w:ind w:left="426"/>
              <w:rPr>
                <w:rFonts w:cs="Arial"/>
                <w:sz w:val="20"/>
                <w:lang w:val="en-AU"/>
              </w:rPr>
            </w:pPr>
            <w:r w:rsidRPr="00F86EEB">
              <w:rPr>
                <w:rFonts w:cs="Arial"/>
                <w:sz w:val="20"/>
                <w:lang w:val="en-AU"/>
              </w:rPr>
              <w:t>ii. consider whether the current labelling regime is leading to consumers being misled about the quality or effectiveness of an infant formula product.</w:t>
            </w:r>
          </w:p>
        </w:tc>
        <w:tc>
          <w:tcPr>
            <w:tcW w:w="3129" w:type="pct"/>
          </w:tcPr>
          <w:p w14:paraId="46C2FACC" w14:textId="77777777" w:rsidR="009D1CB9" w:rsidRDefault="009D1CB9" w:rsidP="009D1CB9">
            <w:pPr>
              <w:spacing w:after="120"/>
              <w:rPr>
                <w:rFonts w:cs="Arial"/>
                <w:sz w:val="20"/>
                <w:lang w:val="en-AU"/>
              </w:rPr>
            </w:pPr>
            <w:r w:rsidRPr="00D836AD">
              <w:rPr>
                <w:sz w:val="20"/>
                <w:szCs w:val="20"/>
                <w:lang w:bidi="ar-SA"/>
              </w:rPr>
              <w:t>The existing labelling requirements, including the prohibition for nutrition content claims and health claims for infant formula products, would apply</w:t>
            </w:r>
            <w:r w:rsidRPr="00D836AD">
              <w:rPr>
                <w:rFonts w:cs="Arial"/>
                <w:sz w:val="20"/>
                <w:lang w:val="en-AU"/>
              </w:rPr>
              <w:t xml:space="preserve"> to the proposed addition of 2</w:t>
            </w:r>
            <w:r>
              <w:rPr>
                <w:rFonts w:cs="Arial"/>
                <w:sz w:val="20"/>
                <w:lang w:val="en-AU"/>
              </w:rPr>
              <w:t>′</w:t>
            </w:r>
            <w:r w:rsidRPr="00D836AD">
              <w:rPr>
                <w:rFonts w:cs="Arial"/>
                <w:sz w:val="20"/>
                <w:lang w:val="en-AU"/>
              </w:rPr>
              <w:t xml:space="preserve">-FL and LNnT. </w:t>
            </w:r>
          </w:p>
          <w:p w14:paraId="411C4D89" w14:textId="2F2718DA" w:rsidR="009D1CB9" w:rsidRPr="00485929" w:rsidRDefault="009D1CB9" w:rsidP="00E23A25">
            <w:pPr>
              <w:spacing w:after="120"/>
              <w:rPr>
                <w:rFonts w:cs="Arial"/>
                <w:sz w:val="20"/>
                <w:lang w:val="en-AU"/>
              </w:rPr>
            </w:pPr>
            <w:r>
              <w:rPr>
                <w:rFonts w:cs="Arial"/>
                <w:sz w:val="20"/>
                <w:lang w:val="en-AU"/>
              </w:rPr>
              <w:t>FSANZ has also specifically prohibit</w:t>
            </w:r>
            <w:r w:rsidR="00E23A25">
              <w:rPr>
                <w:rFonts w:cs="Arial"/>
                <w:sz w:val="20"/>
                <w:lang w:val="en-AU"/>
              </w:rPr>
              <w:t>ed</w:t>
            </w:r>
            <w:r>
              <w:rPr>
                <w:rFonts w:cs="Arial"/>
                <w:sz w:val="20"/>
                <w:lang w:val="en-AU"/>
              </w:rPr>
              <w:t xml:space="preserve"> terminology such as ‘human milk identical’ (see policy principle (l) above) to avoid misleading consumers by the addition of </w:t>
            </w:r>
            <w:r w:rsidRPr="00D836AD">
              <w:rPr>
                <w:rFonts w:cs="Arial"/>
                <w:sz w:val="20"/>
                <w:lang w:val="en-AU"/>
              </w:rPr>
              <w:t>2</w:t>
            </w:r>
            <w:r>
              <w:rPr>
                <w:rFonts w:cs="Arial"/>
                <w:sz w:val="20"/>
                <w:lang w:val="en-AU"/>
              </w:rPr>
              <w:t>′</w:t>
            </w:r>
            <w:r w:rsidRPr="00D836AD">
              <w:rPr>
                <w:rFonts w:cs="Arial"/>
                <w:sz w:val="20"/>
                <w:lang w:val="en-AU"/>
              </w:rPr>
              <w:t>-FL and LNnT</w:t>
            </w:r>
            <w:r>
              <w:rPr>
                <w:rFonts w:cs="Arial"/>
                <w:sz w:val="20"/>
                <w:lang w:val="en-AU"/>
              </w:rPr>
              <w:t xml:space="preserve"> to infant formula products</w:t>
            </w:r>
            <w:r w:rsidR="00BF6782">
              <w:rPr>
                <w:rFonts w:cs="Arial"/>
                <w:sz w:val="20"/>
                <w:lang w:val="en-AU"/>
              </w:rPr>
              <w:t xml:space="preserve"> (the use of the generic term oligosaccharides is permitted)</w:t>
            </w:r>
            <w:r>
              <w:rPr>
                <w:rFonts w:cs="Arial"/>
                <w:sz w:val="20"/>
                <w:lang w:val="en-AU"/>
              </w:rPr>
              <w:t xml:space="preserve">. </w:t>
            </w:r>
            <w:r w:rsidR="007F1EA4">
              <w:rPr>
                <w:rFonts w:cs="Arial"/>
                <w:sz w:val="20"/>
                <w:lang w:val="en-AU"/>
              </w:rPr>
              <w:t xml:space="preserve"> </w:t>
            </w:r>
          </w:p>
        </w:tc>
      </w:tr>
      <w:tr w:rsidR="009D1CB9" w:rsidRPr="00932F72" w14:paraId="0080529B" w14:textId="77777777" w:rsidTr="002333A6">
        <w:tc>
          <w:tcPr>
            <w:tcW w:w="1871" w:type="pct"/>
          </w:tcPr>
          <w:p w14:paraId="60F86D23" w14:textId="77777777" w:rsidR="009D1CB9" w:rsidRPr="00F86EEB" w:rsidRDefault="009D1CB9" w:rsidP="009D1CB9">
            <w:pPr>
              <w:rPr>
                <w:rFonts w:cs="Arial"/>
                <w:sz w:val="20"/>
                <w:lang w:val="en-AU"/>
              </w:rPr>
            </w:pPr>
            <w:r>
              <w:rPr>
                <w:rFonts w:cs="Arial"/>
                <w:sz w:val="20"/>
                <w:lang w:val="en-AU"/>
              </w:rPr>
              <w:t>(o) Infant formula products for special dietary use must be safe, suitable and meet the nutritional requirements to support the growth, development and dietary management of the infants for whom they are intended.</w:t>
            </w:r>
          </w:p>
        </w:tc>
        <w:tc>
          <w:tcPr>
            <w:tcW w:w="3129" w:type="pct"/>
          </w:tcPr>
          <w:p w14:paraId="357FBCF2" w14:textId="77777777" w:rsidR="009D1CB9" w:rsidRPr="00D61629" w:rsidRDefault="009D1CB9" w:rsidP="007F1EA4">
            <w:pPr>
              <w:spacing w:after="120"/>
              <w:rPr>
                <w:sz w:val="20"/>
                <w:szCs w:val="20"/>
                <w:lang w:bidi="ar-SA"/>
              </w:rPr>
            </w:pPr>
            <w:r w:rsidRPr="00F86EEB">
              <w:rPr>
                <w:rFonts w:cs="Arial"/>
                <w:sz w:val="20"/>
                <w:lang w:val="en-AU"/>
              </w:rPr>
              <w:t>See comments for specific policy principle</w:t>
            </w:r>
            <w:r w:rsidR="007F1EA4">
              <w:rPr>
                <w:rFonts w:cs="Arial"/>
                <w:sz w:val="20"/>
                <w:lang w:val="en-AU"/>
              </w:rPr>
              <w:t>s</w:t>
            </w:r>
            <w:r w:rsidRPr="00F86EEB">
              <w:rPr>
                <w:rFonts w:cs="Arial"/>
                <w:sz w:val="20"/>
                <w:lang w:val="en-AU"/>
              </w:rPr>
              <w:t xml:space="preserve"> (d</w:t>
            </w:r>
            <w:r w:rsidR="007F1EA4">
              <w:rPr>
                <w:rFonts w:cs="Arial"/>
                <w:sz w:val="20"/>
                <w:lang w:val="en-AU"/>
              </w:rPr>
              <w:t>) and( j</w:t>
            </w:r>
            <w:r w:rsidRPr="00F86EEB">
              <w:rPr>
                <w:rFonts w:cs="Arial"/>
                <w:sz w:val="20"/>
                <w:lang w:val="en-AU"/>
              </w:rPr>
              <w:t>).</w:t>
            </w:r>
            <w:r>
              <w:rPr>
                <w:rFonts w:cs="Arial"/>
                <w:sz w:val="20"/>
                <w:lang w:val="en-AU"/>
              </w:rPr>
              <w:t xml:space="preserve"> FSANZ also notes that approval of 2′-FL and LNnT would provide alternative options to GOS and ITF currently permitted at higher levels for use in infant formula products which includes such products for special dietary use. </w:t>
            </w:r>
          </w:p>
        </w:tc>
      </w:tr>
      <w:tr w:rsidR="009D1CB9" w:rsidRPr="00932F72" w14:paraId="65EB2375" w14:textId="77777777" w:rsidTr="002333A6">
        <w:trPr>
          <w:cantSplit/>
        </w:trPr>
        <w:tc>
          <w:tcPr>
            <w:tcW w:w="1871" w:type="pct"/>
          </w:tcPr>
          <w:p w14:paraId="55EDAABF" w14:textId="77777777" w:rsidR="009D1CB9" w:rsidRDefault="009D1CB9" w:rsidP="009D1CB9">
            <w:pPr>
              <w:rPr>
                <w:rFonts w:cs="Arial"/>
                <w:sz w:val="20"/>
                <w:lang w:val="en-AU"/>
              </w:rPr>
            </w:pPr>
            <w:r>
              <w:rPr>
                <w:rFonts w:cs="Arial"/>
                <w:sz w:val="20"/>
                <w:lang w:val="en-AU"/>
              </w:rPr>
              <w:t xml:space="preserve">(p) The composition of infant formula products for special dietary uses should be based on appropriate scientific evidence. </w:t>
            </w:r>
          </w:p>
        </w:tc>
        <w:tc>
          <w:tcPr>
            <w:tcW w:w="3129" w:type="pct"/>
          </w:tcPr>
          <w:p w14:paraId="19BC4233" w14:textId="77777777" w:rsidR="009D1CB9" w:rsidRDefault="009D1CB9" w:rsidP="009D1CB9">
            <w:pPr>
              <w:spacing w:after="120"/>
              <w:rPr>
                <w:rFonts w:cs="Arial"/>
                <w:sz w:val="20"/>
                <w:lang w:val="en-AU"/>
              </w:rPr>
            </w:pPr>
            <w:r>
              <w:rPr>
                <w:rFonts w:cs="Arial"/>
                <w:sz w:val="20"/>
                <w:lang w:val="en-AU"/>
              </w:rPr>
              <w:t xml:space="preserve">FSANZ has used the best available scientific evidence to assess the application. </w:t>
            </w:r>
          </w:p>
          <w:p w14:paraId="6644512D" w14:textId="4DCD700C" w:rsidR="009D1CB9" w:rsidRDefault="009D1CB9" w:rsidP="009D1CB9">
            <w:pPr>
              <w:spacing w:after="120"/>
              <w:rPr>
                <w:sz w:val="20"/>
                <w:szCs w:val="20"/>
                <w:lang w:bidi="ar-SA"/>
              </w:rPr>
            </w:pPr>
            <w:r>
              <w:rPr>
                <w:rFonts w:cs="Arial"/>
                <w:sz w:val="20"/>
                <w:lang w:val="en-AU"/>
              </w:rPr>
              <w:t>The Code requirements for infant formula products for special dietary use (IF</w:t>
            </w:r>
            <w:r w:rsidR="00E23A25">
              <w:rPr>
                <w:rFonts w:cs="Arial"/>
                <w:sz w:val="20"/>
                <w:lang w:val="en-AU"/>
              </w:rPr>
              <w:t>P</w:t>
            </w:r>
            <w:r>
              <w:rPr>
                <w:rFonts w:cs="Arial"/>
                <w:sz w:val="20"/>
                <w:lang w:val="en-AU"/>
              </w:rPr>
              <w:t xml:space="preserve">SDU) provide a flexible approach, based on the composition of infant formula, to allow products formulated for particular conditions. Care is taken by food businesses to formulate products for specific dietary uses. </w:t>
            </w:r>
          </w:p>
        </w:tc>
      </w:tr>
      <w:tr w:rsidR="009D1CB9" w:rsidRPr="00932F72" w14:paraId="2AD06775" w14:textId="77777777" w:rsidTr="002333A6">
        <w:trPr>
          <w:cantSplit/>
        </w:trPr>
        <w:tc>
          <w:tcPr>
            <w:tcW w:w="1871" w:type="pct"/>
          </w:tcPr>
          <w:p w14:paraId="08BC1FDE" w14:textId="77777777" w:rsidR="009D1CB9" w:rsidRDefault="009D1CB9" w:rsidP="009D1CB9">
            <w:pPr>
              <w:rPr>
                <w:rFonts w:cs="Arial"/>
                <w:sz w:val="20"/>
                <w:lang w:val="en-AU"/>
              </w:rPr>
            </w:pPr>
            <w:r>
              <w:rPr>
                <w:rFonts w:cs="Arial"/>
                <w:sz w:val="20"/>
                <w:lang w:val="en-AU"/>
              </w:rPr>
              <w:t xml:space="preserve">(q) The labelling and advertising of infant formula products for special dietary uses should clearly specify the special dietary or medical uses for which the product is intended. </w:t>
            </w:r>
          </w:p>
        </w:tc>
        <w:tc>
          <w:tcPr>
            <w:tcW w:w="3129" w:type="pct"/>
            <w:tcBorders>
              <w:bottom w:val="single" w:sz="4" w:space="0" w:color="auto"/>
            </w:tcBorders>
          </w:tcPr>
          <w:p w14:paraId="341F2B64" w14:textId="77777777" w:rsidR="009D1CB9" w:rsidRDefault="009D1CB9" w:rsidP="009D1CB9">
            <w:pPr>
              <w:spacing w:after="120"/>
              <w:rPr>
                <w:sz w:val="20"/>
                <w:szCs w:val="20"/>
                <w:lang w:bidi="ar-SA"/>
              </w:rPr>
            </w:pPr>
            <w:r w:rsidRPr="00D836AD">
              <w:rPr>
                <w:rFonts w:cs="Arial"/>
                <w:sz w:val="20"/>
                <w:lang w:val="en-AU"/>
              </w:rPr>
              <w:t xml:space="preserve">Existing labelling requirements specific to </w:t>
            </w:r>
            <w:r>
              <w:rPr>
                <w:rFonts w:cs="Arial"/>
                <w:sz w:val="20"/>
                <w:lang w:val="en-AU"/>
              </w:rPr>
              <w:t>IFSDU</w:t>
            </w:r>
            <w:r w:rsidRPr="00D836AD">
              <w:rPr>
                <w:rFonts w:cs="Arial"/>
                <w:sz w:val="20"/>
                <w:lang w:val="en-AU"/>
              </w:rPr>
              <w:t xml:space="preserve"> would apply where products formulated for certain conditions are required to state the condition, disease or disorder for which the product has been formulated (sections 2.9.1</w:t>
            </w:r>
            <w:r w:rsidRPr="00D836AD">
              <w:rPr>
                <w:sz w:val="20"/>
                <w:szCs w:val="20"/>
              </w:rPr>
              <w:t xml:space="preserve">—13 and </w:t>
            </w:r>
            <w:r w:rsidRPr="00D836AD">
              <w:rPr>
                <w:rFonts w:cs="Arial"/>
                <w:sz w:val="20"/>
                <w:lang w:val="en-AU"/>
              </w:rPr>
              <w:t>2.9.1</w:t>
            </w:r>
            <w:r w:rsidRPr="00D836AD">
              <w:rPr>
                <w:sz w:val="20"/>
                <w:szCs w:val="20"/>
              </w:rPr>
              <w:t>—14 of the Code)</w:t>
            </w:r>
            <w:r w:rsidRPr="00D836AD">
              <w:rPr>
                <w:rFonts w:cs="Arial"/>
                <w:sz w:val="20"/>
                <w:lang w:val="en-AU"/>
              </w:rPr>
              <w:t>. No changes are proposed to these requirements.</w:t>
            </w:r>
          </w:p>
        </w:tc>
      </w:tr>
      <w:tr w:rsidR="009D1CB9" w:rsidRPr="00473DC7" w14:paraId="42ACC855" w14:textId="77777777" w:rsidTr="002333A6">
        <w:trPr>
          <w:cantSplit/>
        </w:trPr>
        <w:tc>
          <w:tcPr>
            <w:tcW w:w="1871" w:type="pct"/>
            <w:tcBorders>
              <w:right w:val="nil"/>
            </w:tcBorders>
          </w:tcPr>
          <w:p w14:paraId="181DBBF6" w14:textId="3168B14D" w:rsidR="009D1CB9" w:rsidRPr="00473DC7" w:rsidRDefault="009317D2" w:rsidP="007555BB">
            <w:pPr>
              <w:keepNext/>
              <w:keepLines/>
              <w:rPr>
                <w:rFonts w:cs="Arial"/>
                <w:b/>
                <w:i/>
                <w:sz w:val="20"/>
                <w:lang w:val="en-AU"/>
              </w:rPr>
            </w:pPr>
            <w:r>
              <w:rPr>
                <w:rFonts w:cs="Arial"/>
                <w:b/>
                <w:i/>
                <w:sz w:val="20"/>
                <w:lang w:val="en-AU"/>
              </w:rPr>
              <w:t>Additional policy guidance -</w:t>
            </w:r>
            <w:r w:rsidR="007555BB">
              <w:rPr>
                <w:rFonts w:cs="Arial"/>
                <w:b/>
                <w:i/>
                <w:sz w:val="20"/>
                <w:lang w:val="en-AU"/>
              </w:rPr>
              <w:t xml:space="preserve"> </w:t>
            </w:r>
            <w:r w:rsidR="009D1CB9" w:rsidRPr="00473DC7">
              <w:rPr>
                <w:rFonts w:cs="Arial"/>
                <w:b/>
                <w:i/>
                <w:sz w:val="20"/>
                <w:lang w:val="en-AU"/>
              </w:rPr>
              <w:t>Expert Group</w:t>
            </w:r>
          </w:p>
        </w:tc>
        <w:tc>
          <w:tcPr>
            <w:tcW w:w="3129" w:type="pct"/>
            <w:tcBorders>
              <w:top w:val="single" w:sz="4" w:space="0" w:color="auto"/>
              <w:left w:val="nil"/>
              <w:bottom w:val="single" w:sz="4" w:space="0" w:color="auto"/>
              <w:right w:val="single" w:sz="4" w:space="0" w:color="auto"/>
            </w:tcBorders>
          </w:tcPr>
          <w:p w14:paraId="47C098A5" w14:textId="77777777" w:rsidR="009D1CB9" w:rsidRPr="00473DC7" w:rsidRDefault="009D1CB9" w:rsidP="007555BB">
            <w:pPr>
              <w:keepNext/>
              <w:keepLines/>
              <w:spacing w:after="120"/>
              <w:rPr>
                <w:rFonts w:cs="Arial"/>
                <w:b/>
                <w:i/>
                <w:sz w:val="20"/>
                <w:lang w:val="en-AU"/>
              </w:rPr>
            </w:pPr>
          </w:p>
        </w:tc>
      </w:tr>
      <w:tr w:rsidR="009D1CB9" w:rsidRPr="00932F72" w14:paraId="1ACF6D39" w14:textId="77777777" w:rsidTr="002333A6">
        <w:trPr>
          <w:cantSplit/>
        </w:trPr>
        <w:tc>
          <w:tcPr>
            <w:tcW w:w="1871" w:type="pct"/>
          </w:tcPr>
          <w:p w14:paraId="798E4F46" w14:textId="77777777" w:rsidR="009D1CB9" w:rsidRDefault="009D1CB9" w:rsidP="007555BB">
            <w:pPr>
              <w:keepNext/>
              <w:keepLines/>
              <w:rPr>
                <w:rFonts w:cs="Arial"/>
                <w:sz w:val="20"/>
                <w:lang w:val="en-AU"/>
              </w:rPr>
            </w:pPr>
            <w:r>
              <w:rPr>
                <w:rFonts w:cs="Arial"/>
                <w:sz w:val="20"/>
                <w:lang w:val="en-AU"/>
              </w:rPr>
              <w:lastRenderedPageBreak/>
              <w:t>FSANZ should consider establishing an independent scientific expert group that may provide advise prior to pre-market assessment, based on scientific criteria established by the Authority, on whether:</w:t>
            </w:r>
          </w:p>
          <w:p w14:paraId="63842DEF" w14:textId="77777777" w:rsidR="009D1CB9" w:rsidRDefault="009D1CB9" w:rsidP="007555BB">
            <w:pPr>
              <w:pStyle w:val="ListParagraph"/>
              <w:keepNext/>
              <w:keepLines/>
              <w:numPr>
                <w:ilvl w:val="0"/>
                <w:numId w:val="14"/>
              </w:numPr>
              <w:contextualSpacing w:val="0"/>
              <w:rPr>
                <w:rFonts w:cs="Arial"/>
                <w:sz w:val="20"/>
                <w:lang w:val="en-AU"/>
              </w:rPr>
            </w:pPr>
            <w:r>
              <w:rPr>
                <w:rFonts w:cs="Arial"/>
                <w:sz w:val="20"/>
                <w:lang w:val="en-AU"/>
              </w:rPr>
              <w:t>a substance proposed to be added to infant formula products has a history of safe use in infant formula or follow-on formula in Australia and New Zealand; and</w:t>
            </w:r>
          </w:p>
          <w:p w14:paraId="60E30D41" w14:textId="77777777" w:rsidR="009D1CB9" w:rsidRPr="00473DC7" w:rsidRDefault="009D1CB9" w:rsidP="007555BB">
            <w:pPr>
              <w:pStyle w:val="ListParagraph"/>
              <w:keepNext/>
              <w:keepLines/>
              <w:numPr>
                <w:ilvl w:val="0"/>
                <w:numId w:val="14"/>
              </w:numPr>
              <w:contextualSpacing w:val="0"/>
              <w:rPr>
                <w:rFonts w:cs="Arial"/>
                <w:sz w:val="20"/>
                <w:lang w:val="en-AU"/>
              </w:rPr>
            </w:pPr>
            <w:r>
              <w:rPr>
                <w:rFonts w:cs="Arial"/>
                <w:sz w:val="20"/>
                <w:lang w:val="en-AU"/>
              </w:rPr>
              <w:t>there is evidence available that the substance has a substantiated beneficial role in the normal growth and development of infants or children.</w:t>
            </w:r>
          </w:p>
        </w:tc>
        <w:tc>
          <w:tcPr>
            <w:tcW w:w="3129" w:type="pct"/>
            <w:tcBorders>
              <w:top w:val="single" w:sz="4" w:space="0" w:color="auto"/>
              <w:bottom w:val="single" w:sz="4" w:space="0" w:color="auto"/>
            </w:tcBorders>
          </w:tcPr>
          <w:p w14:paraId="018051E1" w14:textId="4F2C4C24" w:rsidR="009D1CB9" w:rsidRDefault="007555BB" w:rsidP="007555BB">
            <w:pPr>
              <w:keepNext/>
              <w:keepLines/>
              <w:widowControl/>
              <w:spacing w:after="120"/>
              <w:rPr>
                <w:sz w:val="20"/>
                <w:szCs w:val="20"/>
              </w:rPr>
            </w:pPr>
            <w:r>
              <w:rPr>
                <w:rFonts w:cs="Arial"/>
                <w:sz w:val="20"/>
                <w:lang w:val="en-AU"/>
              </w:rPr>
              <w:t xml:space="preserve">In response to concerns raised in submissions </w:t>
            </w:r>
            <w:r w:rsidR="009D1CB9">
              <w:rPr>
                <w:rFonts w:cs="Arial"/>
                <w:sz w:val="20"/>
                <w:lang w:val="en-AU"/>
              </w:rPr>
              <w:t xml:space="preserve">FSANZ </w:t>
            </w:r>
            <w:r>
              <w:rPr>
                <w:rFonts w:cs="Arial"/>
                <w:sz w:val="20"/>
                <w:lang w:val="en-AU"/>
              </w:rPr>
              <w:t xml:space="preserve">sought </w:t>
            </w:r>
            <w:r w:rsidR="009D1CB9" w:rsidRPr="00696EAA">
              <w:rPr>
                <w:sz w:val="20"/>
                <w:szCs w:val="20"/>
              </w:rPr>
              <w:t xml:space="preserve">advice on our assessment of </w:t>
            </w:r>
            <w:r>
              <w:rPr>
                <w:sz w:val="20"/>
                <w:szCs w:val="20"/>
              </w:rPr>
              <w:t xml:space="preserve">the </w:t>
            </w:r>
            <w:r w:rsidR="009D1CB9" w:rsidRPr="00696EAA">
              <w:rPr>
                <w:sz w:val="20"/>
                <w:szCs w:val="20"/>
              </w:rPr>
              <w:t>pathogen</w:t>
            </w:r>
            <w:r>
              <w:rPr>
                <w:sz w:val="20"/>
                <w:szCs w:val="20"/>
              </w:rPr>
              <w:t xml:space="preserve"> binding effect for </w:t>
            </w:r>
            <w:r>
              <w:rPr>
                <w:rFonts w:cs="Arial"/>
                <w:i/>
                <w:sz w:val="20"/>
              </w:rPr>
              <w:t>C</w:t>
            </w:r>
            <w:r w:rsidRPr="007555BB">
              <w:rPr>
                <w:rFonts w:cs="Arial"/>
                <w:i/>
                <w:sz w:val="20"/>
              </w:rPr>
              <w:t>ampylobacter jujeni</w:t>
            </w:r>
            <w:r w:rsidR="009D1CB9" w:rsidRPr="007555BB">
              <w:rPr>
                <w:sz w:val="18"/>
                <w:szCs w:val="20"/>
              </w:rPr>
              <w:t xml:space="preserve"> </w:t>
            </w:r>
            <w:r w:rsidR="009D1CB9" w:rsidRPr="00696EAA">
              <w:rPr>
                <w:sz w:val="20"/>
                <w:szCs w:val="20"/>
              </w:rPr>
              <w:t xml:space="preserve">and </w:t>
            </w:r>
            <w:r>
              <w:rPr>
                <w:sz w:val="20"/>
                <w:szCs w:val="20"/>
              </w:rPr>
              <w:t xml:space="preserve">the </w:t>
            </w:r>
            <w:r w:rsidR="009D1CB9" w:rsidRPr="00696EAA">
              <w:rPr>
                <w:sz w:val="20"/>
                <w:szCs w:val="20"/>
              </w:rPr>
              <w:t>bifidogenic effects from an expert microbiologist, Associate Professor Andrew Holmes</w:t>
            </w:r>
            <w:r w:rsidR="009D1CB9">
              <w:rPr>
                <w:rStyle w:val="FootnoteReference"/>
                <w:sz w:val="20"/>
                <w:szCs w:val="20"/>
              </w:rPr>
              <w:footnoteReference w:id="2"/>
            </w:r>
            <w:r>
              <w:rPr>
                <w:sz w:val="20"/>
                <w:szCs w:val="20"/>
              </w:rPr>
              <w:t>. Assoc Prof Holmes n</w:t>
            </w:r>
            <w:r w:rsidR="009D1CB9" w:rsidRPr="00696EAA">
              <w:rPr>
                <w:sz w:val="20"/>
                <w:szCs w:val="20"/>
              </w:rPr>
              <w:t>oted the approach and conclusions reached by FSANZ were appropriate and reasonable. He also commented that FSANZ had taken a particularly cautious approach to our assessment of bifidogenic effect, noting the effect could be greater in infants who are predisposed to respond to the addition of these oligosaccharides in infant formula.</w:t>
            </w:r>
          </w:p>
          <w:p w14:paraId="4D3CC3B0" w14:textId="00ABF0C2" w:rsidR="007555BB" w:rsidRDefault="007555BB" w:rsidP="007555BB">
            <w:pPr>
              <w:keepNext/>
              <w:keepLines/>
              <w:rPr>
                <w:sz w:val="20"/>
                <w:szCs w:val="20"/>
              </w:rPr>
            </w:pPr>
            <w:r>
              <w:rPr>
                <w:sz w:val="20"/>
                <w:szCs w:val="20"/>
              </w:rPr>
              <w:t>FSANZ also sought advice f</w:t>
            </w:r>
            <w:r w:rsidR="00E23A25">
              <w:rPr>
                <w:sz w:val="20"/>
                <w:szCs w:val="20"/>
              </w:rPr>
              <w:t>r</w:t>
            </w:r>
            <w:r>
              <w:rPr>
                <w:sz w:val="20"/>
                <w:szCs w:val="20"/>
              </w:rPr>
              <w:t xml:space="preserve">om FSANZ Fellow Seppo Salminem on the assessment approach and conclusions, he supported the approach and conclusions of the assessment. </w:t>
            </w:r>
          </w:p>
          <w:p w14:paraId="23248900" w14:textId="77777777" w:rsidR="007555BB" w:rsidRDefault="007555BB" w:rsidP="007555BB">
            <w:pPr>
              <w:keepNext/>
              <w:keepLines/>
              <w:rPr>
                <w:sz w:val="20"/>
                <w:szCs w:val="20"/>
              </w:rPr>
            </w:pPr>
          </w:p>
          <w:p w14:paraId="30B9493A" w14:textId="10FF09B8" w:rsidR="007555BB" w:rsidRDefault="007555BB" w:rsidP="007555BB">
            <w:pPr>
              <w:keepNext/>
              <w:keepLines/>
              <w:rPr>
                <w:sz w:val="20"/>
                <w:szCs w:val="20"/>
              </w:rPr>
            </w:pPr>
            <w:r>
              <w:rPr>
                <w:sz w:val="20"/>
                <w:szCs w:val="20"/>
              </w:rPr>
              <w:t xml:space="preserve">On this basis </w:t>
            </w:r>
            <w:r w:rsidRPr="00696EAA">
              <w:rPr>
                <w:sz w:val="20"/>
                <w:szCs w:val="20"/>
              </w:rPr>
              <w:t xml:space="preserve">FSANZ considers that an independent </w:t>
            </w:r>
            <w:r>
              <w:rPr>
                <w:sz w:val="20"/>
                <w:szCs w:val="20"/>
              </w:rPr>
              <w:t xml:space="preserve">scientific </w:t>
            </w:r>
            <w:r w:rsidRPr="00696EAA">
              <w:rPr>
                <w:sz w:val="20"/>
                <w:szCs w:val="20"/>
              </w:rPr>
              <w:t xml:space="preserve">group is not necessary for this application, noting that we have assessed the application using a risk analysis approach and applied particular caution in reaching our conclusions. </w:t>
            </w:r>
          </w:p>
          <w:p w14:paraId="7171E375" w14:textId="27DEBAD7" w:rsidR="007555BB" w:rsidRDefault="007555BB" w:rsidP="007555BB">
            <w:pPr>
              <w:keepNext/>
              <w:keepLines/>
              <w:widowControl/>
              <w:spacing w:after="120"/>
              <w:rPr>
                <w:rFonts w:cs="Arial"/>
                <w:sz w:val="20"/>
                <w:lang w:val="en-AU"/>
              </w:rPr>
            </w:pPr>
            <w:r>
              <w:rPr>
                <w:sz w:val="20"/>
                <w:szCs w:val="20"/>
              </w:rPr>
              <w:t xml:space="preserve"> </w:t>
            </w:r>
          </w:p>
          <w:p w14:paraId="32D1E15B" w14:textId="77777777" w:rsidR="009D1CB9" w:rsidRDefault="009D1CB9" w:rsidP="007555BB">
            <w:pPr>
              <w:keepNext/>
              <w:keepLines/>
              <w:spacing w:after="120"/>
              <w:rPr>
                <w:rFonts w:cs="Arial"/>
                <w:sz w:val="20"/>
                <w:lang w:val="en-AU"/>
              </w:rPr>
            </w:pPr>
            <w:r>
              <w:rPr>
                <w:rFonts w:cs="Arial"/>
                <w:sz w:val="20"/>
                <w:lang w:val="en-AU"/>
              </w:rPr>
              <w:t xml:space="preserve">See comments to specific policy principle (i) above. </w:t>
            </w:r>
          </w:p>
          <w:p w14:paraId="38BF37E0" w14:textId="77777777" w:rsidR="009D1CB9" w:rsidRPr="00F86EEB" w:rsidRDefault="009D1CB9" w:rsidP="007555BB">
            <w:pPr>
              <w:keepNext/>
              <w:keepLines/>
              <w:spacing w:after="120"/>
              <w:rPr>
                <w:rFonts w:cs="Arial"/>
                <w:sz w:val="20"/>
                <w:lang w:val="en-AU"/>
              </w:rPr>
            </w:pPr>
            <w:r>
              <w:rPr>
                <w:rFonts w:cs="Arial"/>
                <w:sz w:val="20"/>
                <w:lang w:val="en-AU"/>
              </w:rPr>
              <w:t>See comments to specific policy principle (j) above.</w:t>
            </w:r>
          </w:p>
        </w:tc>
      </w:tr>
      <w:tr w:rsidR="009D1CB9" w:rsidRPr="00932F72" w14:paraId="62ECB294" w14:textId="77777777" w:rsidTr="002333A6">
        <w:tc>
          <w:tcPr>
            <w:tcW w:w="1871" w:type="pct"/>
            <w:tcBorders>
              <w:bottom w:val="single" w:sz="4" w:space="0" w:color="auto"/>
              <w:right w:val="nil"/>
            </w:tcBorders>
          </w:tcPr>
          <w:p w14:paraId="229DE19A" w14:textId="77777777" w:rsidR="009D1CB9" w:rsidRPr="00F86EEB" w:rsidRDefault="009317D2" w:rsidP="009D1CB9">
            <w:pPr>
              <w:keepNext/>
              <w:keepLines/>
              <w:ind w:right="-6992"/>
              <w:rPr>
                <w:rFonts w:cs="Arial"/>
                <w:sz w:val="20"/>
                <w:lang w:val="en-AU"/>
              </w:rPr>
            </w:pPr>
            <w:r>
              <w:rPr>
                <w:rFonts w:cs="Arial"/>
                <w:b/>
                <w:i/>
                <w:sz w:val="20"/>
                <w:lang w:val="en-AU"/>
              </w:rPr>
              <w:t>Additional policy guidance  -</w:t>
            </w:r>
            <w:r w:rsidR="009D1CB9" w:rsidRPr="00F86EEB">
              <w:rPr>
                <w:rFonts w:cs="Arial"/>
                <w:b/>
                <w:i/>
                <w:iCs/>
                <w:sz w:val="20"/>
                <w:lang w:val="en-AU"/>
              </w:rPr>
              <w:t>Relevant international agreements</w:t>
            </w:r>
          </w:p>
        </w:tc>
        <w:tc>
          <w:tcPr>
            <w:tcW w:w="3129" w:type="pct"/>
            <w:tcBorders>
              <w:top w:val="single" w:sz="4" w:space="0" w:color="auto"/>
              <w:left w:val="nil"/>
              <w:bottom w:val="single" w:sz="4" w:space="0" w:color="auto"/>
              <w:right w:val="single" w:sz="4" w:space="0" w:color="auto"/>
            </w:tcBorders>
          </w:tcPr>
          <w:p w14:paraId="1DE485C6" w14:textId="77777777" w:rsidR="009D1CB9" w:rsidRPr="00F86EEB" w:rsidRDefault="009D1CB9" w:rsidP="009D1CB9">
            <w:pPr>
              <w:keepNext/>
              <w:keepLines/>
              <w:spacing w:after="120"/>
              <w:ind w:right="-6992"/>
              <w:rPr>
                <w:rFonts w:cs="Arial"/>
                <w:sz w:val="20"/>
                <w:lang w:val="en-AU"/>
              </w:rPr>
            </w:pPr>
          </w:p>
        </w:tc>
      </w:tr>
      <w:tr w:rsidR="009D1CB9" w:rsidRPr="00932F72" w14:paraId="1BA686E2" w14:textId="77777777" w:rsidTr="002333A6">
        <w:tc>
          <w:tcPr>
            <w:tcW w:w="1871" w:type="pct"/>
            <w:tcBorders>
              <w:top w:val="single" w:sz="4" w:space="0" w:color="auto"/>
            </w:tcBorders>
          </w:tcPr>
          <w:p w14:paraId="2D8BB3B4" w14:textId="77777777" w:rsidR="009D1CB9" w:rsidRPr="00531B96" w:rsidRDefault="009D1CB9" w:rsidP="009D1CB9">
            <w:pPr>
              <w:keepNext/>
              <w:keepLines/>
              <w:autoSpaceDE w:val="0"/>
              <w:autoSpaceDN w:val="0"/>
              <w:adjustRightInd w:val="0"/>
              <w:rPr>
                <w:rFonts w:cs="Arial"/>
                <w:sz w:val="20"/>
                <w:lang w:val="en-AU"/>
              </w:rPr>
            </w:pPr>
            <w:r w:rsidRPr="00531B96">
              <w:rPr>
                <w:rFonts w:cs="Arial"/>
                <w:sz w:val="20"/>
                <w:lang w:val="en-AU"/>
              </w:rPr>
              <w:t>The regulation of infant formula products in Australia and New Zealand should be consistent</w:t>
            </w:r>
            <w:r w:rsidR="00043A08">
              <w:rPr>
                <w:rFonts w:cs="Arial"/>
                <w:sz w:val="20"/>
                <w:lang w:val="en-AU"/>
              </w:rPr>
              <w:t xml:space="preserve"> </w:t>
            </w:r>
            <w:r w:rsidRPr="00531B96">
              <w:rPr>
                <w:rFonts w:cs="Arial"/>
                <w:sz w:val="20"/>
                <w:lang w:val="en-AU"/>
              </w:rPr>
              <w:t>to the greatest extent possible with:</w:t>
            </w:r>
          </w:p>
          <w:p w14:paraId="6379D55C" w14:textId="77777777" w:rsidR="009D1CB9" w:rsidRPr="00531B96" w:rsidRDefault="009D1CB9" w:rsidP="009D1CB9">
            <w:pPr>
              <w:pStyle w:val="ListParagraph"/>
              <w:keepNext/>
              <w:keepLines/>
              <w:numPr>
                <w:ilvl w:val="0"/>
                <w:numId w:val="7"/>
              </w:numPr>
              <w:autoSpaceDE w:val="0"/>
              <w:autoSpaceDN w:val="0"/>
              <w:adjustRightInd w:val="0"/>
              <w:contextualSpacing w:val="0"/>
              <w:rPr>
                <w:rFonts w:cs="Arial"/>
                <w:sz w:val="20"/>
                <w:lang w:val="en-AU"/>
              </w:rPr>
            </w:pPr>
            <w:r w:rsidRPr="00531B96">
              <w:rPr>
                <w:rFonts w:cs="Arial"/>
                <w:sz w:val="20"/>
                <w:lang w:val="en-AU"/>
              </w:rPr>
              <w:t>relevant World Health Organization agreements; and</w:t>
            </w:r>
          </w:p>
          <w:p w14:paraId="0A01621C" w14:textId="77777777" w:rsidR="009D1CB9" w:rsidRPr="00E523AA" w:rsidRDefault="009D1CB9" w:rsidP="009D1CB9">
            <w:pPr>
              <w:pStyle w:val="ListParagraph"/>
              <w:keepNext/>
              <w:keepLines/>
              <w:numPr>
                <w:ilvl w:val="0"/>
                <w:numId w:val="7"/>
              </w:numPr>
              <w:contextualSpacing w:val="0"/>
              <w:rPr>
                <w:rFonts w:cs="Arial"/>
                <w:b/>
                <w:i/>
                <w:iCs/>
                <w:sz w:val="20"/>
                <w:lang w:val="en-AU"/>
              </w:rPr>
            </w:pPr>
            <w:r w:rsidRPr="00531B96">
              <w:rPr>
                <w:rFonts w:cs="Arial"/>
                <w:sz w:val="20"/>
                <w:lang w:val="en-AU"/>
              </w:rPr>
              <w:t>relevant World Trade Organization agreements, Codex standards and guidelines</w:t>
            </w:r>
          </w:p>
          <w:p w14:paraId="53FB0383" w14:textId="0F4CA277" w:rsidR="00E523AA" w:rsidRPr="00F86EEB" w:rsidRDefault="00E523AA" w:rsidP="00E523AA">
            <w:pPr>
              <w:pStyle w:val="ListParagraph"/>
              <w:keepNext/>
              <w:keepLines/>
              <w:contextualSpacing w:val="0"/>
              <w:rPr>
                <w:rFonts w:cs="Arial"/>
                <w:b/>
                <w:i/>
                <w:iCs/>
                <w:sz w:val="20"/>
                <w:lang w:val="en-AU"/>
              </w:rPr>
            </w:pPr>
          </w:p>
        </w:tc>
        <w:tc>
          <w:tcPr>
            <w:tcW w:w="3129" w:type="pct"/>
            <w:tcBorders>
              <w:top w:val="single" w:sz="4" w:space="0" w:color="auto"/>
            </w:tcBorders>
          </w:tcPr>
          <w:p w14:paraId="5FC2914E" w14:textId="3FA8CBAA" w:rsidR="009D1CB9" w:rsidRDefault="009D1CB9" w:rsidP="009D1CB9">
            <w:pPr>
              <w:keepNext/>
              <w:keepLines/>
              <w:spacing w:after="120"/>
              <w:rPr>
                <w:rFonts w:cs="Arial"/>
                <w:sz w:val="20"/>
                <w:lang w:val="en-AU"/>
              </w:rPr>
            </w:pPr>
            <w:r w:rsidRPr="00F86EEB">
              <w:rPr>
                <w:sz w:val="20"/>
                <w:lang w:val="en-AU"/>
              </w:rPr>
              <w:t xml:space="preserve">FSANZ has taken </w:t>
            </w:r>
            <w:r w:rsidR="007F1EA4">
              <w:rPr>
                <w:sz w:val="20"/>
                <w:lang w:val="en-AU"/>
              </w:rPr>
              <w:t xml:space="preserve">considerable </w:t>
            </w:r>
            <w:r w:rsidRPr="00F86EEB">
              <w:rPr>
                <w:sz w:val="20"/>
                <w:lang w:val="en-AU"/>
              </w:rPr>
              <w:t xml:space="preserve">account of the </w:t>
            </w:r>
            <w:r w:rsidRPr="00D76303">
              <w:rPr>
                <w:sz w:val="20"/>
                <w:lang w:val="en-AU"/>
              </w:rPr>
              <w:t xml:space="preserve">relevant </w:t>
            </w:r>
            <w:r w:rsidR="00E523AA">
              <w:rPr>
                <w:sz w:val="20"/>
                <w:lang w:val="en-AU"/>
              </w:rPr>
              <w:t xml:space="preserve">WHO and WTO </w:t>
            </w:r>
            <w:r w:rsidRPr="00D76303">
              <w:rPr>
                <w:sz w:val="20"/>
                <w:lang w:val="en-AU"/>
              </w:rPr>
              <w:t xml:space="preserve">agreements and Codex standards and guidelines. </w:t>
            </w:r>
            <w:r>
              <w:rPr>
                <w:sz w:val="20"/>
                <w:lang w:val="en-AU"/>
              </w:rPr>
              <w:t xml:space="preserve">The applicant’s </w:t>
            </w:r>
            <w:r w:rsidRPr="00D76303">
              <w:rPr>
                <w:rFonts w:cs="Arial"/>
                <w:sz w:val="20"/>
                <w:lang w:val="en-AU"/>
              </w:rPr>
              <w:t>2</w:t>
            </w:r>
            <w:r>
              <w:rPr>
                <w:rFonts w:cs="Arial"/>
                <w:sz w:val="20"/>
                <w:lang w:val="en-AU"/>
              </w:rPr>
              <w:t>′-FL and LNnT</w:t>
            </w:r>
            <w:r w:rsidRPr="00F86EEB">
              <w:rPr>
                <w:rFonts w:cs="Arial"/>
                <w:sz w:val="20"/>
                <w:lang w:val="en-AU"/>
              </w:rPr>
              <w:t xml:space="preserve"> </w:t>
            </w:r>
            <w:r>
              <w:rPr>
                <w:rFonts w:cs="Arial"/>
                <w:sz w:val="20"/>
                <w:lang w:val="en-AU"/>
              </w:rPr>
              <w:t>are</w:t>
            </w:r>
            <w:r w:rsidRPr="00F86EEB">
              <w:rPr>
                <w:rFonts w:cs="Arial"/>
                <w:sz w:val="20"/>
                <w:lang w:val="en-AU"/>
              </w:rPr>
              <w:t xml:space="preserve"> permitted and used in infant formula products </w:t>
            </w:r>
            <w:r w:rsidRPr="009317D2">
              <w:rPr>
                <w:rFonts w:cs="Arial"/>
                <w:sz w:val="20"/>
                <w:lang w:val="en-AU"/>
              </w:rPr>
              <w:t xml:space="preserve">sold </w:t>
            </w:r>
            <w:r w:rsidR="007F1EA4" w:rsidRPr="009317D2">
              <w:rPr>
                <w:rFonts w:cs="Arial"/>
                <w:sz w:val="20"/>
                <w:lang w:val="en-AU"/>
              </w:rPr>
              <w:t xml:space="preserve">in </w:t>
            </w:r>
            <w:r w:rsidR="009317D2" w:rsidRPr="009317D2">
              <w:rPr>
                <w:rFonts w:cs="Arial"/>
                <w:sz w:val="20"/>
                <w:lang w:val="en-AU"/>
              </w:rPr>
              <w:t>at least 37</w:t>
            </w:r>
            <w:r w:rsidR="007F1EA4" w:rsidRPr="009317D2">
              <w:rPr>
                <w:rFonts w:cs="Arial"/>
                <w:sz w:val="20"/>
                <w:lang w:val="en-AU"/>
              </w:rPr>
              <w:t xml:space="preserve"> </w:t>
            </w:r>
            <w:r w:rsidRPr="009317D2">
              <w:rPr>
                <w:rFonts w:cs="Arial"/>
                <w:sz w:val="20"/>
                <w:lang w:val="en-AU"/>
              </w:rPr>
              <w:t>overseas.</w:t>
            </w:r>
          </w:p>
          <w:p w14:paraId="464D3993" w14:textId="77777777" w:rsidR="009D1CB9" w:rsidRPr="00F86EEB" w:rsidRDefault="009D1CB9" w:rsidP="009D1CB9">
            <w:pPr>
              <w:keepNext/>
              <w:keepLines/>
              <w:spacing w:after="120"/>
              <w:rPr>
                <w:rFonts w:cs="Arial"/>
                <w:sz w:val="20"/>
                <w:lang w:val="en-AU"/>
              </w:rPr>
            </w:pPr>
            <w:r>
              <w:rPr>
                <w:rFonts w:cs="Arial"/>
                <w:sz w:val="20"/>
                <w:szCs w:val="20"/>
              </w:rPr>
              <w:t xml:space="preserve">The proposed addition supports international consistency and a competitive food industry (in accordance with high order policy principles 2(b) and (c)), providing trade opportunities.  </w:t>
            </w:r>
          </w:p>
        </w:tc>
      </w:tr>
    </w:tbl>
    <w:p w14:paraId="5E9154B5" w14:textId="77777777" w:rsidR="000A1AF4" w:rsidRDefault="00EB46DC" w:rsidP="00086F81">
      <w:pPr>
        <w:pStyle w:val="Heading1"/>
        <w:pageBreakBefore/>
      </w:pPr>
      <w:r>
        <w:lastRenderedPageBreak/>
        <w:t>2</w:t>
      </w:r>
      <w:r>
        <w:tab/>
      </w:r>
      <w:r w:rsidR="000A1AF4">
        <w:t>Intent of Part 2.9 – Special Purpose Foods</w:t>
      </w:r>
    </w:p>
    <w:p w14:paraId="086B7DF9" w14:textId="77777777" w:rsidR="00F73381" w:rsidRDefault="00F73381" w:rsidP="00F73381">
      <w:pPr>
        <w:rPr>
          <w:lang w:val="en-AU"/>
        </w:rPr>
      </w:pPr>
      <w:r w:rsidRPr="00932F72">
        <w:rPr>
          <w:lang w:val="en-AU"/>
        </w:rPr>
        <w:t xml:space="preserve">FSANZ has had regard to the </w:t>
      </w:r>
      <w:r w:rsidR="006F4E5E">
        <w:rPr>
          <w:lang w:val="en-AU"/>
        </w:rPr>
        <w:t>policy guideline</w:t>
      </w:r>
      <w:r w:rsidRPr="00932F72">
        <w:rPr>
          <w:lang w:val="en-AU"/>
        </w:rPr>
        <w:t xml:space="preserve"> on </w:t>
      </w:r>
      <w:r>
        <w:rPr>
          <w:lang w:val="en-AU"/>
        </w:rPr>
        <w:t>the Intent of Part 2.9 – Special Purpose Foods of the</w:t>
      </w:r>
      <w:r w:rsidR="00D836AD">
        <w:rPr>
          <w:lang w:val="en-AU"/>
        </w:rPr>
        <w:t xml:space="preserve"> Code</w:t>
      </w:r>
      <w:r>
        <w:rPr>
          <w:lang w:val="en-AU"/>
        </w:rPr>
        <w:t xml:space="preserve">. </w:t>
      </w:r>
      <w:r w:rsidRPr="00932F72">
        <w:rPr>
          <w:lang w:val="en-AU"/>
        </w:rPr>
        <w:t xml:space="preserve">The </w:t>
      </w:r>
      <w:r w:rsidR="006F4E5E">
        <w:rPr>
          <w:lang w:val="en-AU"/>
        </w:rPr>
        <w:t>policy g</w:t>
      </w:r>
      <w:r w:rsidRPr="00932F72">
        <w:rPr>
          <w:lang w:val="en-AU"/>
        </w:rPr>
        <w:t xml:space="preserve">uideline includes specific </w:t>
      </w:r>
      <w:r w:rsidR="00CB1CD3">
        <w:rPr>
          <w:lang w:val="en-AU"/>
        </w:rPr>
        <w:t xml:space="preserve">and high order </w:t>
      </w:r>
      <w:r w:rsidRPr="00932F72">
        <w:rPr>
          <w:lang w:val="en-AU"/>
        </w:rPr>
        <w:t xml:space="preserve">policy principles </w:t>
      </w:r>
      <w:r w:rsidR="006F4E5E">
        <w:rPr>
          <w:lang w:val="en-AU"/>
        </w:rPr>
        <w:t>for standards contained within Part 2.9 of the Code</w:t>
      </w:r>
      <w:r w:rsidRPr="00932F72">
        <w:rPr>
          <w:lang w:val="en-AU"/>
        </w:rPr>
        <w:t xml:space="preserve">. The table below summarises our assessment </w:t>
      </w:r>
      <w:r w:rsidR="006F4E5E">
        <w:rPr>
          <w:lang w:val="en-AU"/>
        </w:rPr>
        <w:t>against</w:t>
      </w:r>
      <w:r w:rsidRPr="00932F72">
        <w:rPr>
          <w:lang w:val="en-AU"/>
        </w:rPr>
        <w:t xml:space="preserve"> t</w:t>
      </w:r>
      <w:r>
        <w:rPr>
          <w:lang w:val="en-AU"/>
        </w:rPr>
        <w:t>he specific policy principles</w:t>
      </w:r>
      <w:r w:rsidR="006F4E5E">
        <w:rPr>
          <w:lang w:val="en-AU"/>
        </w:rPr>
        <w:t xml:space="preserve"> </w:t>
      </w:r>
      <w:r w:rsidR="00A82D70">
        <w:rPr>
          <w:lang w:val="en-AU"/>
        </w:rPr>
        <w:t>for</w:t>
      </w:r>
      <w:r w:rsidR="001B6430">
        <w:rPr>
          <w:lang w:val="en-AU"/>
        </w:rPr>
        <w:t xml:space="preserve"> the </w:t>
      </w:r>
      <w:r w:rsidR="00A82D70">
        <w:rPr>
          <w:lang w:val="en-AU"/>
        </w:rPr>
        <w:t xml:space="preserve">proposed </w:t>
      </w:r>
      <w:r w:rsidR="00294E47">
        <w:rPr>
          <w:lang w:val="en-AU"/>
        </w:rPr>
        <w:t>addition</w:t>
      </w:r>
      <w:r w:rsidR="001B6430">
        <w:rPr>
          <w:lang w:val="en-AU"/>
        </w:rPr>
        <w:t xml:space="preserve"> of 2</w:t>
      </w:r>
      <w:r w:rsidR="005D4C6E">
        <w:rPr>
          <w:lang w:val="en-AU"/>
        </w:rPr>
        <w:t>′</w:t>
      </w:r>
      <w:r w:rsidR="001B6430">
        <w:rPr>
          <w:lang w:val="en-AU"/>
        </w:rPr>
        <w:t xml:space="preserve">-FL </w:t>
      </w:r>
      <w:r w:rsidR="00A82D70">
        <w:rPr>
          <w:lang w:val="en-AU"/>
        </w:rPr>
        <w:t xml:space="preserve">alone </w:t>
      </w:r>
      <w:r w:rsidR="00014B41">
        <w:rPr>
          <w:lang w:val="en-AU"/>
        </w:rPr>
        <w:t xml:space="preserve">and </w:t>
      </w:r>
      <w:r w:rsidR="006D7989">
        <w:rPr>
          <w:lang w:val="en-AU"/>
        </w:rPr>
        <w:t xml:space="preserve">in combination </w:t>
      </w:r>
      <w:r w:rsidR="00014B41">
        <w:rPr>
          <w:lang w:val="en-AU"/>
        </w:rPr>
        <w:t>with</w:t>
      </w:r>
      <w:r w:rsidR="00294E47">
        <w:rPr>
          <w:lang w:val="en-AU"/>
        </w:rPr>
        <w:t xml:space="preserve"> LNnT to</w:t>
      </w:r>
      <w:r w:rsidR="006F4E5E">
        <w:rPr>
          <w:lang w:val="en-AU"/>
        </w:rPr>
        <w:t xml:space="preserve"> formulated supplementary foods for young children (FSFYC)</w:t>
      </w:r>
      <w:r w:rsidRPr="00932F72">
        <w:rPr>
          <w:lang w:val="en-AU"/>
        </w:rPr>
        <w:t xml:space="preserve">. </w:t>
      </w:r>
    </w:p>
    <w:p w14:paraId="1ECC613F" w14:textId="77777777" w:rsidR="006F4E5E" w:rsidRDefault="006F4E5E" w:rsidP="00F73381">
      <w:pPr>
        <w:rPr>
          <w:lang w:val="en-AU"/>
        </w:rPr>
      </w:pPr>
    </w:p>
    <w:tbl>
      <w:tblPr>
        <w:tblStyle w:val="TableGrid"/>
        <w:tblW w:w="5000" w:type="pct"/>
        <w:tblLook w:val="04A0" w:firstRow="1" w:lastRow="0" w:firstColumn="1" w:lastColumn="0" w:noHBand="0" w:noVBand="1"/>
        <w:tblDescription w:val="This table summarises FSANZ's assessment of the application against the specific policy principles of the Ministerial Policy Guideline on the Intent of Part 2.9 - special purpose foods of the Code."/>
      </w:tblPr>
      <w:tblGrid>
        <w:gridCol w:w="4248"/>
        <w:gridCol w:w="9744"/>
      </w:tblGrid>
      <w:tr w:rsidR="000A1AF4" w:rsidRPr="00203E26" w14:paraId="1FC234A4" w14:textId="77777777" w:rsidTr="006E4BCA">
        <w:trPr>
          <w:cantSplit/>
          <w:tblHeader/>
        </w:trPr>
        <w:tc>
          <w:tcPr>
            <w:tcW w:w="1518" w:type="pct"/>
            <w:shd w:val="clear" w:color="auto" w:fill="E5DFEC" w:themeFill="accent4" w:themeFillTint="33"/>
          </w:tcPr>
          <w:p w14:paraId="21BB72AC" w14:textId="77777777" w:rsidR="000A1AF4" w:rsidRPr="00203E26" w:rsidRDefault="00F73381" w:rsidP="00647775">
            <w:pPr>
              <w:spacing w:before="120" w:after="120"/>
              <w:rPr>
                <w:b/>
                <w:szCs w:val="20"/>
              </w:rPr>
            </w:pPr>
            <w:r w:rsidRPr="00932F72">
              <w:rPr>
                <w:rFonts w:cs="Arial"/>
                <w:lang w:val="en-AU"/>
              </w:rPr>
              <w:t xml:space="preserve"> </w:t>
            </w:r>
            <w:r w:rsidR="00F85EAC">
              <w:rPr>
                <w:b/>
                <w:szCs w:val="20"/>
              </w:rPr>
              <w:t xml:space="preserve">Specific </w:t>
            </w:r>
            <w:r w:rsidR="000A1AF4" w:rsidRPr="00203E26">
              <w:rPr>
                <w:b/>
                <w:szCs w:val="20"/>
              </w:rPr>
              <w:t>Policy Principles</w:t>
            </w:r>
            <w:r w:rsidR="000A1AF4" w:rsidRPr="00203E26">
              <w:rPr>
                <w:rFonts w:ascii="Times New Roman" w:hAnsi="Times New Roman"/>
                <w:color w:val="000000"/>
                <w:sz w:val="23"/>
                <w:szCs w:val="23"/>
                <w:lang w:val="en-NZ" w:eastAsia="en-GB"/>
              </w:rPr>
              <w:t xml:space="preserve"> </w:t>
            </w:r>
          </w:p>
        </w:tc>
        <w:tc>
          <w:tcPr>
            <w:tcW w:w="3482" w:type="pct"/>
            <w:shd w:val="clear" w:color="auto" w:fill="E5DFEC" w:themeFill="accent4" w:themeFillTint="33"/>
            <w:vAlign w:val="center"/>
          </w:tcPr>
          <w:p w14:paraId="2F2B0096" w14:textId="77777777" w:rsidR="000A1AF4" w:rsidRPr="00203E26" w:rsidRDefault="00F85EAC" w:rsidP="00647775">
            <w:pPr>
              <w:spacing w:before="120" w:after="120"/>
              <w:jc w:val="center"/>
              <w:rPr>
                <w:b/>
                <w:szCs w:val="20"/>
              </w:rPr>
            </w:pPr>
            <w:r>
              <w:rPr>
                <w:b/>
                <w:szCs w:val="20"/>
              </w:rPr>
              <w:t>Assessment</w:t>
            </w:r>
          </w:p>
        </w:tc>
      </w:tr>
      <w:tr w:rsidR="000A1AF4" w:rsidRPr="00203E26" w14:paraId="51D1C3A4" w14:textId="77777777" w:rsidTr="006E4BCA">
        <w:trPr>
          <w:cantSplit/>
        </w:trPr>
        <w:tc>
          <w:tcPr>
            <w:tcW w:w="1518" w:type="pct"/>
          </w:tcPr>
          <w:p w14:paraId="786A2941" w14:textId="77777777" w:rsidR="000A1AF4" w:rsidRPr="00F85EAC" w:rsidRDefault="000A1AF4" w:rsidP="000A1AF4">
            <w:pPr>
              <w:pStyle w:val="ListParagraph"/>
              <w:numPr>
                <w:ilvl w:val="0"/>
                <w:numId w:val="11"/>
              </w:numPr>
              <w:rPr>
                <w:rFonts w:eastAsia="Times New Roman"/>
                <w:sz w:val="20"/>
                <w:szCs w:val="20"/>
              </w:rPr>
            </w:pPr>
            <w:r w:rsidRPr="00F85EAC">
              <w:rPr>
                <w:rFonts w:eastAsia="Times New Roman"/>
                <w:sz w:val="20"/>
                <w:szCs w:val="20"/>
              </w:rPr>
              <w:t>Special purpose foods should be targeted to specific population groups who meet the criteria outlined in the policy guideline</w:t>
            </w:r>
          </w:p>
        </w:tc>
        <w:tc>
          <w:tcPr>
            <w:tcW w:w="3482" w:type="pct"/>
          </w:tcPr>
          <w:p w14:paraId="1BBD8CDD" w14:textId="77777777" w:rsidR="000A1AF4" w:rsidRPr="00D836AD" w:rsidRDefault="00D836AD" w:rsidP="006337AC">
            <w:pPr>
              <w:rPr>
                <w:sz w:val="20"/>
                <w:szCs w:val="20"/>
              </w:rPr>
            </w:pPr>
            <w:r w:rsidRPr="00D836AD">
              <w:rPr>
                <w:sz w:val="20"/>
                <w:szCs w:val="20"/>
              </w:rPr>
              <w:t xml:space="preserve">This application does not amend the range of special purpose foods in Part 2.9 of the Code. Special purpose foods relevant to this application are </w:t>
            </w:r>
            <w:r>
              <w:rPr>
                <w:sz w:val="20"/>
                <w:szCs w:val="20"/>
              </w:rPr>
              <w:t xml:space="preserve">infant formula products </w:t>
            </w:r>
            <w:r w:rsidR="00113A1C">
              <w:rPr>
                <w:sz w:val="20"/>
                <w:szCs w:val="20"/>
              </w:rPr>
              <w:t>(</w:t>
            </w:r>
            <w:r w:rsidR="00807E8F">
              <w:rPr>
                <w:sz w:val="20"/>
                <w:szCs w:val="20"/>
              </w:rPr>
              <w:t xml:space="preserve">as </w:t>
            </w:r>
            <w:r w:rsidR="00113A1C">
              <w:rPr>
                <w:sz w:val="20"/>
                <w:szCs w:val="20"/>
              </w:rPr>
              <w:t>assessed against the</w:t>
            </w:r>
            <w:r w:rsidR="000D11BB">
              <w:rPr>
                <w:sz w:val="20"/>
                <w:szCs w:val="20"/>
              </w:rPr>
              <w:t xml:space="preserve"> specific policy above) </w:t>
            </w:r>
            <w:r>
              <w:rPr>
                <w:sz w:val="20"/>
                <w:szCs w:val="20"/>
              </w:rPr>
              <w:t>and FSFYC.</w:t>
            </w:r>
          </w:p>
        </w:tc>
      </w:tr>
      <w:tr w:rsidR="000A1AF4" w:rsidRPr="00203E26" w14:paraId="05C4B052" w14:textId="77777777" w:rsidTr="006E4BCA">
        <w:tc>
          <w:tcPr>
            <w:tcW w:w="1518" w:type="pct"/>
          </w:tcPr>
          <w:p w14:paraId="774B3DBF" w14:textId="77777777" w:rsidR="000A1AF4" w:rsidRPr="00F85EAC" w:rsidRDefault="000A1AF4" w:rsidP="000A1AF4">
            <w:pPr>
              <w:pStyle w:val="ListParagraph"/>
              <w:numPr>
                <w:ilvl w:val="0"/>
                <w:numId w:val="11"/>
              </w:numPr>
              <w:autoSpaceDE w:val="0"/>
              <w:autoSpaceDN w:val="0"/>
              <w:adjustRightInd w:val="0"/>
              <w:rPr>
                <w:sz w:val="20"/>
                <w:szCs w:val="20"/>
                <w:lang w:val="en-NZ"/>
              </w:rPr>
            </w:pPr>
            <w:r w:rsidRPr="00F85EAC">
              <w:rPr>
                <w:rFonts w:eastAsia="Times New Roman"/>
                <w:sz w:val="20"/>
                <w:szCs w:val="20"/>
              </w:rPr>
              <w:t>The composition of special purpose food should be consistent with the intended purpose</w:t>
            </w:r>
          </w:p>
        </w:tc>
        <w:tc>
          <w:tcPr>
            <w:tcW w:w="3482" w:type="pct"/>
          </w:tcPr>
          <w:p w14:paraId="1C8CBA0E" w14:textId="77777777" w:rsidR="00086F81" w:rsidRDefault="00D836AD" w:rsidP="00F34CB8">
            <w:pPr>
              <w:spacing w:after="120"/>
              <w:rPr>
                <w:sz w:val="20"/>
                <w:szCs w:val="20"/>
              </w:rPr>
            </w:pPr>
            <w:r>
              <w:rPr>
                <w:sz w:val="20"/>
                <w:szCs w:val="20"/>
              </w:rPr>
              <w:t>F</w:t>
            </w:r>
            <w:r w:rsidR="00113A1C">
              <w:rPr>
                <w:sz w:val="20"/>
                <w:szCs w:val="20"/>
              </w:rPr>
              <w:t>SFYC</w:t>
            </w:r>
            <w:r w:rsidR="007A743B">
              <w:rPr>
                <w:sz w:val="20"/>
                <w:szCs w:val="20"/>
              </w:rPr>
              <w:t xml:space="preserve"> are specifically formulated </w:t>
            </w:r>
            <w:r w:rsidR="00113A1C">
              <w:rPr>
                <w:sz w:val="20"/>
                <w:szCs w:val="20"/>
              </w:rPr>
              <w:t xml:space="preserve">for children aged 1 to &lt;4 years </w:t>
            </w:r>
            <w:r w:rsidR="007A743B">
              <w:rPr>
                <w:sz w:val="20"/>
                <w:szCs w:val="20"/>
              </w:rPr>
              <w:t>as a supplement to a normal diet to address situations where intakes of energy and nutrients</w:t>
            </w:r>
            <w:r w:rsidR="00113A1C">
              <w:rPr>
                <w:sz w:val="20"/>
                <w:szCs w:val="20"/>
              </w:rPr>
              <w:t xml:space="preserve"> may not be adequate to meet an</w:t>
            </w:r>
            <w:r w:rsidR="007A743B">
              <w:rPr>
                <w:sz w:val="20"/>
                <w:szCs w:val="20"/>
              </w:rPr>
              <w:t xml:space="preserve"> individual</w:t>
            </w:r>
            <w:r w:rsidR="00113A1C">
              <w:rPr>
                <w:sz w:val="20"/>
                <w:szCs w:val="20"/>
              </w:rPr>
              <w:t>’s</w:t>
            </w:r>
            <w:r w:rsidR="007A743B">
              <w:rPr>
                <w:sz w:val="20"/>
                <w:szCs w:val="20"/>
              </w:rPr>
              <w:t xml:space="preserve"> requirements. </w:t>
            </w:r>
          </w:p>
          <w:p w14:paraId="5DCA73B1" w14:textId="77777777" w:rsidR="00086F81" w:rsidRPr="00086F81" w:rsidRDefault="00086F81" w:rsidP="00086F81">
            <w:pPr>
              <w:spacing w:after="120"/>
              <w:rPr>
                <w:sz w:val="20"/>
                <w:szCs w:val="20"/>
              </w:rPr>
            </w:pPr>
            <w:r w:rsidRPr="00086F81">
              <w:rPr>
                <w:sz w:val="20"/>
                <w:szCs w:val="20"/>
              </w:rPr>
              <w:t>In assessing the proposed addition of 2′-FL and LNnT to FSFYC, FSANZ’s first order priority was to ensure there are no public health and safety risks in accordance with subsection 18(1) of the FSANZ Act. FSANZ has also had regard to the relevant policy guideline in accordance with subsection 18(2) of the Act, as well as best available science, international consistency and industry trade and competition.</w:t>
            </w:r>
          </w:p>
          <w:p w14:paraId="3AC52784" w14:textId="77777777" w:rsidR="00547C5D" w:rsidRDefault="00547C5D" w:rsidP="00F34CB8">
            <w:pPr>
              <w:spacing w:after="120"/>
              <w:rPr>
                <w:sz w:val="20"/>
                <w:szCs w:val="20"/>
              </w:rPr>
            </w:pPr>
            <w:r w:rsidRPr="00547C5D">
              <w:rPr>
                <w:sz w:val="20"/>
                <w:szCs w:val="20"/>
              </w:rPr>
              <w:t xml:space="preserve">FSANZ acknowledges that FSFYC are intended to supplement young children’s diets when food intakes may be inadequate. </w:t>
            </w:r>
            <w:r>
              <w:rPr>
                <w:sz w:val="20"/>
                <w:szCs w:val="20"/>
              </w:rPr>
              <w:t>However, the</w:t>
            </w:r>
            <w:r w:rsidRPr="00547C5D">
              <w:rPr>
                <w:sz w:val="20"/>
                <w:szCs w:val="20"/>
              </w:rPr>
              <w:t xml:space="preserve"> literature indicates that the diet in early childhood influences the continuing establishment of the gut microbiota (Mohammadkahah et al 2018; Robertson et al 2019). Oligosaccharides (as GOS &amp; ITF) are already permitted in FSFYC and FSANZ’s assessment concluded that 2’FL and LNnT having a bifidogenic effects and a pathogen inhibitory </w:t>
            </w:r>
            <w:r w:rsidR="00556FFF">
              <w:rPr>
                <w:sz w:val="20"/>
                <w:szCs w:val="20"/>
              </w:rPr>
              <w:t>e</w:t>
            </w:r>
            <w:r w:rsidRPr="00547C5D">
              <w:rPr>
                <w:sz w:val="20"/>
                <w:szCs w:val="20"/>
              </w:rPr>
              <w:t xml:space="preserve">ffect are biologically plausible, both of which may provide </w:t>
            </w:r>
            <w:r w:rsidR="00556FFF">
              <w:rPr>
                <w:sz w:val="20"/>
                <w:szCs w:val="20"/>
              </w:rPr>
              <w:t xml:space="preserve">favourable </w:t>
            </w:r>
            <w:r w:rsidRPr="00547C5D">
              <w:rPr>
                <w:sz w:val="20"/>
                <w:szCs w:val="20"/>
              </w:rPr>
              <w:t xml:space="preserve">health </w:t>
            </w:r>
            <w:r w:rsidR="00556FFF">
              <w:rPr>
                <w:sz w:val="20"/>
                <w:szCs w:val="20"/>
              </w:rPr>
              <w:t xml:space="preserve">effects </w:t>
            </w:r>
            <w:r w:rsidRPr="00547C5D">
              <w:rPr>
                <w:sz w:val="20"/>
                <w:szCs w:val="20"/>
              </w:rPr>
              <w:t xml:space="preserve">for young children (as for infants). </w:t>
            </w:r>
          </w:p>
          <w:p w14:paraId="3889C11B" w14:textId="77777777" w:rsidR="00086F81" w:rsidRDefault="00547C5D" w:rsidP="00F34CB8">
            <w:pPr>
              <w:spacing w:after="120"/>
              <w:rPr>
                <w:sz w:val="20"/>
                <w:szCs w:val="20"/>
              </w:rPr>
            </w:pPr>
            <w:r w:rsidRPr="00547C5D">
              <w:rPr>
                <w:sz w:val="20"/>
                <w:szCs w:val="20"/>
              </w:rPr>
              <w:t>FSANZ has assessed all available information provided by the applicant and from our own independent literature search, and did not identify evidence that would indicate the assessed anti-infective and bifidogenic effects would be limited to a particular age group of infants or toddlers.</w:t>
            </w:r>
            <w:r w:rsidR="006E4BCA">
              <w:rPr>
                <w:sz w:val="20"/>
                <w:szCs w:val="20"/>
              </w:rPr>
              <w:t>T</w:t>
            </w:r>
            <w:r w:rsidR="000A4E7E">
              <w:rPr>
                <w:sz w:val="20"/>
                <w:szCs w:val="20"/>
              </w:rPr>
              <w:t>he addition is</w:t>
            </w:r>
            <w:r w:rsidR="00113A1C" w:rsidRPr="00113A1C">
              <w:rPr>
                <w:sz w:val="20"/>
                <w:szCs w:val="20"/>
              </w:rPr>
              <w:t xml:space="preserve"> safe</w:t>
            </w:r>
            <w:r w:rsidR="003001A8">
              <w:rPr>
                <w:sz w:val="20"/>
                <w:szCs w:val="20"/>
              </w:rPr>
              <w:t xml:space="preserve"> and </w:t>
            </w:r>
            <w:r w:rsidR="00113A1C" w:rsidRPr="00113A1C">
              <w:rPr>
                <w:sz w:val="20"/>
                <w:szCs w:val="20"/>
              </w:rPr>
              <w:t>provides potential beneficial health outcomes in toddlers</w:t>
            </w:r>
            <w:r w:rsidR="003001A8">
              <w:rPr>
                <w:sz w:val="20"/>
                <w:szCs w:val="20"/>
              </w:rPr>
              <w:t xml:space="preserve">. </w:t>
            </w:r>
          </w:p>
          <w:p w14:paraId="17C1ED98" w14:textId="77777777" w:rsidR="000A1AF4" w:rsidRPr="00F85EAC" w:rsidRDefault="003001A8" w:rsidP="00F34CB8">
            <w:pPr>
              <w:spacing w:after="120"/>
              <w:rPr>
                <w:sz w:val="20"/>
                <w:szCs w:val="20"/>
              </w:rPr>
            </w:pPr>
            <w:r>
              <w:rPr>
                <w:sz w:val="20"/>
                <w:szCs w:val="20"/>
              </w:rPr>
              <w:t xml:space="preserve">The proposed addition also supports international consistency and </w:t>
            </w:r>
            <w:r w:rsidR="00F34CB8">
              <w:rPr>
                <w:sz w:val="20"/>
                <w:szCs w:val="20"/>
              </w:rPr>
              <w:t>a competitive food industry</w:t>
            </w:r>
            <w:r>
              <w:rPr>
                <w:sz w:val="20"/>
                <w:szCs w:val="20"/>
              </w:rPr>
              <w:t xml:space="preserve"> </w:t>
            </w:r>
            <w:r>
              <w:rPr>
                <w:rFonts w:cs="Arial"/>
                <w:sz w:val="20"/>
                <w:szCs w:val="20"/>
              </w:rPr>
              <w:t>(in accordance with high order policy principles 2</w:t>
            </w:r>
            <w:r w:rsidR="00402636">
              <w:rPr>
                <w:rFonts w:cs="Arial"/>
                <w:sz w:val="20"/>
                <w:szCs w:val="20"/>
              </w:rPr>
              <w:t>(</w:t>
            </w:r>
            <w:r>
              <w:rPr>
                <w:rFonts w:cs="Arial"/>
                <w:sz w:val="20"/>
                <w:szCs w:val="20"/>
              </w:rPr>
              <w:t>b</w:t>
            </w:r>
            <w:r w:rsidR="00402636">
              <w:rPr>
                <w:rFonts w:cs="Arial"/>
                <w:sz w:val="20"/>
                <w:szCs w:val="20"/>
              </w:rPr>
              <w:t>)</w:t>
            </w:r>
            <w:r>
              <w:rPr>
                <w:rFonts w:cs="Arial"/>
                <w:sz w:val="20"/>
                <w:szCs w:val="20"/>
              </w:rPr>
              <w:t xml:space="preserve"> and </w:t>
            </w:r>
            <w:r w:rsidR="00402636">
              <w:rPr>
                <w:rFonts w:cs="Arial"/>
                <w:sz w:val="20"/>
                <w:szCs w:val="20"/>
              </w:rPr>
              <w:t>(</w:t>
            </w:r>
            <w:r>
              <w:rPr>
                <w:rFonts w:cs="Arial"/>
                <w:sz w:val="20"/>
                <w:szCs w:val="20"/>
              </w:rPr>
              <w:t>c)</w:t>
            </w:r>
            <w:r w:rsidR="00F34CB8">
              <w:rPr>
                <w:rFonts w:cs="Arial"/>
                <w:sz w:val="20"/>
                <w:szCs w:val="20"/>
              </w:rPr>
              <w:t>),</w:t>
            </w:r>
            <w:r>
              <w:rPr>
                <w:sz w:val="20"/>
                <w:szCs w:val="20"/>
              </w:rPr>
              <w:t xml:space="preserve"> </w:t>
            </w:r>
            <w:r w:rsidR="00113A1C" w:rsidRPr="00113A1C">
              <w:rPr>
                <w:sz w:val="20"/>
                <w:szCs w:val="20"/>
              </w:rPr>
              <w:t xml:space="preserve">and </w:t>
            </w:r>
            <w:r>
              <w:rPr>
                <w:sz w:val="20"/>
                <w:szCs w:val="20"/>
              </w:rPr>
              <w:t>provides</w:t>
            </w:r>
            <w:r w:rsidRPr="00113A1C">
              <w:rPr>
                <w:sz w:val="20"/>
                <w:szCs w:val="20"/>
              </w:rPr>
              <w:t xml:space="preserve"> </w:t>
            </w:r>
            <w:r w:rsidR="00113A1C" w:rsidRPr="00113A1C">
              <w:rPr>
                <w:sz w:val="20"/>
                <w:szCs w:val="20"/>
              </w:rPr>
              <w:t xml:space="preserve">alternative options to </w:t>
            </w:r>
            <w:r>
              <w:rPr>
                <w:sz w:val="20"/>
                <w:szCs w:val="20"/>
              </w:rPr>
              <w:t xml:space="preserve">ITF and GOS </w:t>
            </w:r>
            <w:r w:rsidR="001E3E92">
              <w:rPr>
                <w:sz w:val="20"/>
                <w:szCs w:val="20"/>
              </w:rPr>
              <w:t xml:space="preserve">currently </w:t>
            </w:r>
            <w:r>
              <w:rPr>
                <w:sz w:val="20"/>
                <w:szCs w:val="20"/>
              </w:rPr>
              <w:t>permitted at higher levels in FSFYC</w:t>
            </w:r>
            <w:r w:rsidR="00113A1C">
              <w:rPr>
                <w:sz w:val="20"/>
                <w:szCs w:val="20"/>
              </w:rPr>
              <w:t xml:space="preserve"> (see section 2.</w:t>
            </w:r>
            <w:r>
              <w:rPr>
                <w:sz w:val="20"/>
                <w:szCs w:val="20"/>
              </w:rPr>
              <w:t>3</w:t>
            </w:r>
            <w:r w:rsidR="00113A1C">
              <w:rPr>
                <w:sz w:val="20"/>
                <w:szCs w:val="20"/>
              </w:rPr>
              <w:t xml:space="preserve">.1 of the </w:t>
            </w:r>
            <w:r>
              <w:rPr>
                <w:sz w:val="20"/>
                <w:szCs w:val="20"/>
              </w:rPr>
              <w:t>2</w:t>
            </w:r>
            <w:r w:rsidRPr="003001A8">
              <w:rPr>
                <w:sz w:val="20"/>
                <w:szCs w:val="20"/>
                <w:vertAlign w:val="superscript"/>
              </w:rPr>
              <w:t>nd</w:t>
            </w:r>
            <w:r>
              <w:rPr>
                <w:sz w:val="20"/>
                <w:szCs w:val="20"/>
              </w:rPr>
              <w:t xml:space="preserve"> </w:t>
            </w:r>
            <w:r w:rsidR="00113A1C">
              <w:rPr>
                <w:sz w:val="20"/>
                <w:szCs w:val="20"/>
              </w:rPr>
              <w:t>CFS)</w:t>
            </w:r>
            <w:r w:rsidR="00113A1C" w:rsidRPr="00113A1C">
              <w:rPr>
                <w:sz w:val="20"/>
                <w:szCs w:val="20"/>
              </w:rPr>
              <w:t xml:space="preserve">. </w:t>
            </w:r>
          </w:p>
        </w:tc>
      </w:tr>
      <w:tr w:rsidR="000A1AF4" w14:paraId="507EDFF9" w14:textId="77777777" w:rsidTr="006E4BCA">
        <w:trPr>
          <w:cantSplit/>
        </w:trPr>
        <w:tc>
          <w:tcPr>
            <w:tcW w:w="1518" w:type="pct"/>
          </w:tcPr>
          <w:p w14:paraId="65ACF3EE" w14:textId="77777777" w:rsidR="000A1AF4" w:rsidRPr="00F85EAC" w:rsidRDefault="000A1AF4" w:rsidP="000A1AF4">
            <w:pPr>
              <w:pStyle w:val="ListParagraph"/>
              <w:numPr>
                <w:ilvl w:val="0"/>
                <w:numId w:val="11"/>
              </w:numPr>
              <w:rPr>
                <w:rFonts w:eastAsia="Times New Roman"/>
                <w:sz w:val="20"/>
                <w:szCs w:val="20"/>
              </w:rPr>
            </w:pPr>
            <w:r w:rsidRPr="00F85EAC">
              <w:rPr>
                <w:rFonts w:eastAsia="Times New Roman"/>
                <w:sz w:val="20"/>
                <w:szCs w:val="20"/>
              </w:rPr>
              <w:t>Adequate information should be provided, including through labelling and advertising of special purpose foods</w:t>
            </w:r>
          </w:p>
        </w:tc>
        <w:tc>
          <w:tcPr>
            <w:tcW w:w="3482" w:type="pct"/>
          </w:tcPr>
          <w:p w14:paraId="3716EFDE" w14:textId="77777777" w:rsidR="00163143" w:rsidRDefault="000A1AF4" w:rsidP="003001A8">
            <w:pPr>
              <w:spacing w:after="120"/>
              <w:rPr>
                <w:sz w:val="20"/>
                <w:szCs w:val="20"/>
              </w:rPr>
            </w:pPr>
            <w:r w:rsidRPr="00113A1C" w:rsidDel="003F6A19">
              <w:rPr>
                <w:sz w:val="20"/>
                <w:szCs w:val="20"/>
              </w:rPr>
              <w:t xml:space="preserve">The </w:t>
            </w:r>
            <w:r w:rsidR="00ED425B" w:rsidRPr="00113A1C">
              <w:rPr>
                <w:sz w:val="20"/>
                <w:szCs w:val="20"/>
              </w:rPr>
              <w:t xml:space="preserve">proposed </w:t>
            </w:r>
            <w:r w:rsidR="007517BF" w:rsidRPr="00113A1C">
              <w:rPr>
                <w:sz w:val="20"/>
                <w:szCs w:val="20"/>
              </w:rPr>
              <w:t xml:space="preserve">voluntary </w:t>
            </w:r>
            <w:r w:rsidRPr="00113A1C" w:rsidDel="003F6A19">
              <w:rPr>
                <w:sz w:val="20"/>
                <w:szCs w:val="20"/>
              </w:rPr>
              <w:t xml:space="preserve">addition </w:t>
            </w:r>
            <w:r w:rsidR="001C2A7B" w:rsidRPr="00113A1C">
              <w:rPr>
                <w:sz w:val="20"/>
                <w:szCs w:val="20"/>
              </w:rPr>
              <w:t>to FSFYC</w:t>
            </w:r>
            <w:r w:rsidRPr="00113A1C" w:rsidDel="003F6A19">
              <w:rPr>
                <w:sz w:val="20"/>
                <w:szCs w:val="20"/>
              </w:rPr>
              <w:t xml:space="preserve"> </w:t>
            </w:r>
            <w:r w:rsidR="007517BF" w:rsidRPr="00113A1C">
              <w:rPr>
                <w:sz w:val="20"/>
                <w:szCs w:val="20"/>
              </w:rPr>
              <w:t>would be</w:t>
            </w:r>
            <w:r w:rsidRPr="00113A1C" w:rsidDel="003F6A19">
              <w:rPr>
                <w:sz w:val="20"/>
                <w:szCs w:val="20"/>
              </w:rPr>
              <w:t xml:space="preserve"> subject to gener</w:t>
            </w:r>
            <w:r w:rsidR="001C2A7B" w:rsidRPr="00113A1C">
              <w:rPr>
                <w:sz w:val="20"/>
                <w:szCs w:val="20"/>
              </w:rPr>
              <w:t>ic labelling requirements in</w:t>
            </w:r>
            <w:r w:rsidRPr="00113A1C">
              <w:rPr>
                <w:sz w:val="20"/>
                <w:szCs w:val="20"/>
              </w:rPr>
              <w:t xml:space="preserve"> </w:t>
            </w:r>
            <w:r w:rsidR="00ED425B" w:rsidRPr="00113A1C">
              <w:rPr>
                <w:sz w:val="20"/>
                <w:szCs w:val="20"/>
              </w:rPr>
              <w:t>the Code (see section 2.</w:t>
            </w:r>
            <w:r w:rsidR="003001A8">
              <w:rPr>
                <w:sz w:val="20"/>
                <w:szCs w:val="20"/>
              </w:rPr>
              <w:t>3</w:t>
            </w:r>
            <w:r w:rsidR="00ED425B" w:rsidRPr="00113A1C">
              <w:rPr>
                <w:sz w:val="20"/>
                <w:szCs w:val="20"/>
              </w:rPr>
              <w:t xml:space="preserve">.5 of the </w:t>
            </w:r>
            <w:r w:rsidR="003001A8">
              <w:rPr>
                <w:sz w:val="20"/>
                <w:szCs w:val="20"/>
              </w:rPr>
              <w:t>2</w:t>
            </w:r>
            <w:r w:rsidR="003001A8" w:rsidRPr="003001A8">
              <w:rPr>
                <w:sz w:val="20"/>
                <w:szCs w:val="20"/>
                <w:vertAlign w:val="superscript"/>
              </w:rPr>
              <w:t>nd</w:t>
            </w:r>
            <w:r w:rsidR="003001A8">
              <w:rPr>
                <w:sz w:val="20"/>
                <w:szCs w:val="20"/>
              </w:rPr>
              <w:t xml:space="preserve"> </w:t>
            </w:r>
            <w:r w:rsidR="005A7BCB">
              <w:rPr>
                <w:sz w:val="20"/>
                <w:szCs w:val="20"/>
              </w:rPr>
              <w:t xml:space="preserve">CFS report), </w:t>
            </w:r>
            <w:r w:rsidR="00ED425B" w:rsidRPr="00113A1C">
              <w:rPr>
                <w:sz w:val="20"/>
                <w:szCs w:val="20"/>
              </w:rPr>
              <w:t xml:space="preserve">and </w:t>
            </w:r>
            <w:r w:rsidRPr="00113A1C">
              <w:rPr>
                <w:sz w:val="20"/>
                <w:szCs w:val="20"/>
              </w:rPr>
              <w:t>specif</w:t>
            </w:r>
            <w:r w:rsidR="001C2A7B" w:rsidRPr="00113A1C">
              <w:rPr>
                <w:sz w:val="20"/>
                <w:szCs w:val="20"/>
              </w:rPr>
              <w:t>ic labelling requirements in Standard 2.9.3</w:t>
            </w:r>
            <w:r w:rsidR="00ED425B" w:rsidRPr="00113A1C">
              <w:rPr>
                <w:sz w:val="20"/>
                <w:szCs w:val="20"/>
              </w:rPr>
              <w:t>, Division 4</w:t>
            </w:r>
            <w:r w:rsidRPr="00113A1C">
              <w:rPr>
                <w:sz w:val="20"/>
                <w:szCs w:val="20"/>
              </w:rPr>
              <w:t>.</w:t>
            </w:r>
            <w:r w:rsidR="00D01680" w:rsidRPr="00113A1C">
              <w:rPr>
                <w:sz w:val="20"/>
                <w:szCs w:val="20"/>
              </w:rPr>
              <w:t xml:space="preserve"> The</w:t>
            </w:r>
            <w:r w:rsidR="00D01680">
              <w:rPr>
                <w:sz w:val="20"/>
                <w:szCs w:val="20"/>
              </w:rPr>
              <w:t>se</w:t>
            </w:r>
            <w:r w:rsidR="00D01680" w:rsidRPr="00113A1C">
              <w:rPr>
                <w:sz w:val="20"/>
                <w:szCs w:val="20"/>
              </w:rPr>
              <w:t xml:space="preserve"> existing requirements will enable consumers to make informed purchasing decisions</w:t>
            </w:r>
            <w:r w:rsidR="00D01680">
              <w:rPr>
                <w:sz w:val="20"/>
                <w:szCs w:val="20"/>
              </w:rPr>
              <w:t>.</w:t>
            </w:r>
          </w:p>
          <w:p w14:paraId="05FCDB8A" w14:textId="77777777" w:rsidR="000A1AF4" w:rsidRPr="00113A1C" w:rsidRDefault="00ED425B" w:rsidP="005C606A">
            <w:pPr>
              <w:spacing w:after="120"/>
              <w:rPr>
                <w:sz w:val="20"/>
                <w:szCs w:val="20"/>
              </w:rPr>
            </w:pPr>
            <w:r w:rsidRPr="00113A1C">
              <w:rPr>
                <w:sz w:val="20"/>
                <w:szCs w:val="20"/>
              </w:rPr>
              <w:t>In addition</w:t>
            </w:r>
            <w:r w:rsidR="002754B3" w:rsidRPr="00113A1C">
              <w:rPr>
                <w:sz w:val="20"/>
                <w:szCs w:val="20"/>
              </w:rPr>
              <w:t xml:space="preserve"> to</w:t>
            </w:r>
            <w:r w:rsidRPr="00113A1C">
              <w:rPr>
                <w:sz w:val="20"/>
                <w:szCs w:val="20"/>
              </w:rPr>
              <w:t xml:space="preserve"> existing requirements, </w:t>
            </w:r>
            <w:r w:rsidR="00D01680">
              <w:rPr>
                <w:rFonts w:cs="Arial"/>
                <w:sz w:val="20"/>
                <w:szCs w:val="20"/>
              </w:rPr>
              <w:t xml:space="preserve">following consideration of submissions, </w:t>
            </w:r>
            <w:r w:rsidR="005E58C6">
              <w:rPr>
                <w:rFonts w:cs="Arial"/>
                <w:sz w:val="20"/>
                <w:szCs w:val="20"/>
              </w:rPr>
              <w:t xml:space="preserve">FSANZ </w:t>
            </w:r>
            <w:r w:rsidR="005E58C6" w:rsidRPr="00FA5474">
              <w:rPr>
                <w:rFonts w:cs="Arial"/>
                <w:sz w:val="20"/>
                <w:szCs w:val="20"/>
              </w:rPr>
              <w:t>now propos</w:t>
            </w:r>
            <w:r w:rsidR="00402636">
              <w:rPr>
                <w:rFonts w:cs="Arial"/>
                <w:sz w:val="20"/>
                <w:szCs w:val="20"/>
              </w:rPr>
              <w:t>es</w:t>
            </w:r>
            <w:r w:rsidR="005E58C6" w:rsidRPr="00FA5474">
              <w:rPr>
                <w:rFonts w:cs="Arial"/>
                <w:sz w:val="20"/>
                <w:szCs w:val="20"/>
              </w:rPr>
              <w:t xml:space="preserve"> to specifically prohibit reference to ‘human milk identical oligosaccharide’, ‘human milk oligosaccharide’, ‘HiMO’ or ‘HMO’ (or words or abbreviations of similar effect) on </w:t>
            </w:r>
            <w:r w:rsidR="00D01680">
              <w:rPr>
                <w:rFonts w:cs="Arial"/>
                <w:sz w:val="20"/>
                <w:szCs w:val="20"/>
              </w:rPr>
              <w:t>FSFYC</w:t>
            </w:r>
            <w:r w:rsidR="005E58C6">
              <w:rPr>
                <w:rFonts w:cs="Arial"/>
                <w:sz w:val="20"/>
                <w:szCs w:val="20"/>
              </w:rPr>
              <w:t xml:space="preserve">. </w:t>
            </w:r>
            <w:r w:rsidR="008A339E">
              <w:rPr>
                <w:rFonts w:cs="Arial"/>
                <w:sz w:val="20"/>
                <w:szCs w:val="20"/>
              </w:rPr>
              <w:t>Th</w:t>
            </w:r>
            <w:r w:rsidR="00822C82">
              <w:rPr>
                <w:rFonts w:cs="Arial"/>
                <w:sz w:val="20"/>
                <w:szCs w:val="20"/>
              </w:rPr>
              <w:t>e intent of this prohibition is to prev</w:t>
            </w:r>
            <w:r w:rsidR="005A6A45">
              <w:rPr>
                <w:rFonts w:cs="Arial"/>
                <w:sz w:val="20"/>
                <w:szCs w:val="20"/>
              </w:rPr>
              <w:t>ent consumers being misled or confused about the use of such terminology on FSFYC</w:t>
            </w:r>
            <w:r w:rsidR="00822C82">
              <w:rPr>
                <w:rFonts w:cs="Arial"/>
                <w:sz w:val="20"/>
                <w:szCs w:val="20"/>
              </w:rPr>
              <w:t xml:space="preserve"> (see section 2.3.5.2 of the 2</w:t>
            </w:r>
            <w:r w:rsidR="00822C82" w:rsidRPr="00822C82">
              <w:rPr>
                <w:rFonts w:cs="Arial"/>
                <w:sz w:val="20"/>
                <w:szCs w:val="20"/>
                <w:vertAlign w:val="superscript"/>
              </w:rPr>
              <w:t>nd</w:t>
            </w:r>
            <w:r w:rsidR="00822C82">
              <w:rPr>
                <w:rFonts w:cs="Arial"/>
                <w:sz w:val="20"/>
                <w:szCs w:val="20"/>
              </w:rPr>
              <w:t xml:space="preserve"> CFS report).</w:t>
            </w:r>
            <w:r w:rsidRPr="00113A1C">
              <w:rPr>
                <w:sz w:val="20"/>
                <w:szCs w:val="20"/>
              </w:rPr>
              <w:t xml:space="preserve"> </w:t>
            </w:r>
          </w:p>
        </w:tc>
      </w:tr>
      <w:tr w:rsidR="000A1AF4" w14:paraId="590841A2" w14:textId="77777777" w:rsidTr="006E4BCA">
        <w:trPr>
          <w:cantSplit/>
        </w:trPr>
        <w:tc>
          <w:tcPr>
            <w:tcW w:w="1518" w:type="pct"/>
          </w:tcPr>
          <w:p w14:paraId="2E633F0E" w14:textId="77777777" w:rsidR="000A1AF4" w:rsidRPr="008D0605" w:rsidRDefault="000A1AF4" w:rsidP="000A1AF4">
            <w:pPr>
              <w:pStyle w:val="ListParagraph"/>
              <w:numPr>
                <w:ilvl w:val="0"/>
                <w:numId w:val="11"/>
              </w:numPr>
              <w:rPr>
                <w:rFonts w:eastAsia="Times New Roman"/>
                <w:sz w:val="20"/>
                <w:szCs w:val="20"/>
              </w:rPr>
            </w:pPr>
            <w:r w:rsidRPr="008D0605">
              <w:rPr>
                <w:rFonts w:eastAsia="Times New Roman"/>
                <w:sz w:val="20"/>
                <w:szCs w:val="20"/>
              </w:rPr>
              <w:t>Consideration, where appropriate, should be given to application of controls to restrict access to a special purpose food on the basis of risk to public health and safety</w:t>
            </w:r>
          </w:p>
        </w:tc>
        <w:tc>
          <w:tcPr>
            <w:tcW w:w="3482" w:type="pct"/>
          </w:tcPr>
          <w:p w14:paraId="3076CFA2" w14:textId="77777777" w:rsidR="005A7BCB" w:rsidRPr="008D0605" w:rsidRDefault="005A7BCB" w:rsidP="00AD69E1">
            <w:pPr>
              <w:rPr>
                <w:sz w:val="20"/>
                <w:szCs w:val="20"/>
              </w:rPr>
            </w:pPr>
            <w:r w:rsidRPr="005A7BCB">
              <w:rPr>
                <w:sz w:val="20"/>
                <w:szCs w:val="20"/>
              </w:rPr>
              <w:t xml:space="preserve">Access to </w:t>
            </w:r>
            <w:r>
              <w:rPr>
                <w:sz w:val="20"/>
                <w:szCs w:val="20"/>
              </w:rPr>
              <w:t>FSFYC</w:t>
            </w:r>
            <w:r w:rsidRPr="005A7BCB">
              <w:rPr>
                <w:sz w:val="20"/>
                <w:szCs w:val="20"/>
              </w:rPr>
              <w:t xml:space="preserve"> on the market is currently not restricted. </w:t>
            </w:r>
            <w:r w:rsidR="002348E6">
              <w:rPr>
                <w:sz w:val="20"/>
                <w:szCs w:val="20"/>
              </w:rPr>
              <w:t>The safe addition of 2</w:t>
            </w:r>
            <w:r w:rsidR="005D4C6E">
              <w:rPr>
                <w:sz w:val="20"/>
                <w:szCs w:val="20"/>
              </w:rPr>
              <w:t>′</w:t>
            </w:r>
            <w:r w:rsidR="002348E6">
              <w:rPr>
                <w:sz w:val="20"/>
                <w:szCs w:val="20"/>
              </w:rPr>
              <w:t>-FL and LNnT</w:t>
            </w:r>
            <w:r w:rsidR="00A46F4C">
              <w:rPr>
                <w:sz w:val="20"/>
                <w:szCs w:val="20"/>
              </w:rPr>
              <w:t xml:space="preserve"> to</w:t>
            </w:r>
            <w:r w:rsidRPr="005A7BCB">
              <w:rPr>
                <w:sz w:val="20"/>
                <w:szCs w:val="20"/>
              </w:rPr>
              <w:t xml:space="preserve"> these foods does not warrant any change to these arrangements</w:t>
            </w:r>
            <w:r>
              <w:rPr>
                <w:szCs w:val="20"/>
              </w:rPr>
              <w:t>.</w:t>
            </w:r>
          </w:p>
        </w:tc>
      </w:tr>
    </w:tbl>
    <w:p w14:paraId="2CCABE24" w14:textId="77777777" w:rsidR="0016709C" w:rsidRPr="008D0605" w:rsidRDefault="0016709C" w:rsidP="0016709C">
      <w:pPr>
        <w:pStyle w:val="ListParagraph"/>
        <w:ind w:left="360"/>
        <w:rPr>
          <w:rFonts w:eastAsia="Times New Roman"/>
          <w:sz w:val="20"/>
          <w:szCs w:val="20"/>
        </w:rPr>
      </w:pPr>
    </w:p>
    <w:sectPr w:rsidR="0016709C" w:rsidRPr="008D0605" w:rsidSect="00FF496E">
      <w:footerReference w:type="even" r:id="rId15"/>
      <w:footerReference w:type="default" r:id="rId16"/>
      <w:headerReference w:type="first" r:id="rId17"/>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DA8B" w14:textId="77777777" w:rsidR="00633FCF" w:rsidRDefault="00633FCF">
      <w:r>
        <w:separator/>
      </w:r>
    </w:p>
  </w:endnote>
  <w:endnote w:type="continuationSeparator" w:id="0">
    <w:p w14:paraId="24C51F43" w14:textId="77777777" w:rsidR="00633FCF" w:rsidRDefault="00633FCF">
      <w:r>
        <w:continuationSeparator/>
      </w:r>
    </w:p>
  </w:endnote>
  <w:endnote w:type="continuationNotice" w:id="1">
    <w:p w14:paraId="5D837CCC" w14:textId="77777777" w:rsidR="00633FCF" w:rsidRDefault="0063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34B7" w14:textId="7E18FA7C" w:rsidR="0087524E" w:rsidRDefault="0087524E" w:rsidP="00D608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1ED1EA1" w14:textId="77777777" w:rsidR="0087524E" w:rsidRDefault="0087524E" w:rsidP="005C4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9C15" w14:textId="2A3F1C6B" w:rsidR="0087524E" w:rsidRDefault="00697777" w:rsidP="001C27A3">
    <w:pPr>
      <w:pStyle w:val="Footer"/>
      <w:framePr w:wrap="around" w:vAnchor="text" w:hAnchor="margin" w:xAlign="center" w:y="1"/>
      <w:rPr>
        <w:rStyle w:val="PageNumber"/>
      </w:rPr>
    </w:pPr>
    <w:r w:rsidRPr="00697777">
      <w:rPr>
        <w:rStyle w:val="PageNumber"/>
      </w:rPr>
      <w:t xml:space="preserve">Page </w:t>
    </w:r>
    <w:r w:rsidRPr="00697777">
      <w:rPr>
        <w:rStyle w:val="PageNumber"/>
        <w:b/>
        <w:bCs/>
      </w:rPr>
      <w:fldChar w:fldCharType="begin"/>
    </w:r>
    <w:r w:rsidRPr="00697777">
      <w:rPr>
        <w:rStyle w:val="PageNumber"/>
        <w:b/>
        <w:bCs/>
      </w:rPr>
      <w:instrText xml:space="preserve"> PAGE  \* Arabic  \* MERGEFORMAT </w:instrText>
    </w:r>
    <w:r w:rsidRPr="00697777">
      <w:rPr>
        <w:rStyle w:val="PageNumber"/>
        <w:b/>
        <w:bCs/>
      </w:rPr>
      <w:fldChar w:fldCharType="separate"/>
    </w:r>
    <w:r w:rsidR="00DD7EDC">
      <w:rPr>
        <w:rStyle w:val="PageNumber"/>
        <w:b/>
        <w:bCs/>
        <w:noProof/>
      </w:rPr>
      <w:t>1</w:t>
    </w:r>
    <w:r w:rsidRPr="00697777">
      <w:rPr>
        <w:rStyle w:val="PageNumber"/>
        <w:b/>
        <w:bCs/>
      </w:rPr>
      <w:fldChar w:fldCharType="end"/>
    </w:r>
    <w:r w:rsidRPr="00697777">
      <w:rPr>
        <w:rStyle w:val="PageNumber"/>
      </w:rPr>
      <w:t xml:space="preserve"> of </w:t>
    </w:r>
    <w:r w:rsidRPr="00697777">
      <w:rPr>
        <w:rStyle w:val="PageNumber"/>
        <w:b/>
        <w:bCs/>
      </w:rPr>
      <w:fldChar w:fldCharType="begin"/>
    </w:r>
    <w:r w:rsidRPr="00697777">
      <w:rPr>
        <w:rStyle w:val="PageNumber"/>
        <w:b/>
        <w:bCs/>
      </w:rPr>
      <w:instrText xml:space="preserve"> NUMPAGES  \* Arabic  \* MERGEFORMAT </w:instrText>
    </w:r>
    <w:r w:rsidRPr="00697777">
      <w:rPr>
        <w:rStyle w:val="PageNumber"/>
        <w:b/>
        <w:bCs/>
      </w:rPr>
      <w:fldChar w:fldCharType="separate"/>
    </w:r>
    <w:r w:rsidR="00DD7EDC">
      <w:rPr>
        <w:rStyle w:val="PageNumber"/>
        <w:b/>
        <w:bCs/>
        <w:noProof/>
      </w:rPr>
      <w:t>9</w:t>
    </w:r>
    <w:r w:rsidRPr="00697777">
      <w:rPr>
        <w:rStyle w:val="PageNumber"/>
        <w:b/>
        <w:bCs/>
      </w:rPr>
      <w:fldChar w:fldCharType="end"/>
    </w:r>
  </w:p>
  <w:p w14:paraId="286B9584" w14:textId="77777777" w:rsidR="0087524E" w:rsidRDefault="0087524E" w:rsidP="005C4F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C029" w14:textId="77777777" w:rsidR="00633FCF" w:rsidRDefault="00633FCF">
      <w:r>
        <w:separator/>
      </w:r>
    </w:p>
  </w:footnote>
  <w:footnote w:type="continuationSeparator" w:id="0">
    <w:p w14:paraId="6E9FDEB8" w14:textId="77777777" w:rsidR="00633FCF" w:rsidRDefault="00633FCF">
      <w:r>
        <w:continuationSeparator/>
      </w:r>
    </w:p>
  </w:footnote>
  <w:footnote w:type="continuationNotice" w:id="1">
    <w:p w14:paraId="035426AD" w14:textId="77777777" w:rsidR="00633FCF" w:rsidRDefault="00633FCF"/>
  </w:footnote>
  <w:footnote w:id="2">
    <w:p w14:paraId="33794B46" w14:textId="77777777" w:rsidR="009D1CB9" w:rsidRPr="00E24029" w:rsidRDefault="009D1CB9" w:rsidP="006E4BCA">
      <w:pPr>
        <w:rPr>
          <w:sz w:val="20"/>
          <w:szCs w:val="20"/>
        </w:rPr>
      </w:pPr>
      <w:r w:rsidRPr="00E24029">
        <w:rPr>
          <w:rStyle w:val="FootnoteReference"/>
          <w:sz w:val="20"/>
          <w:szCs w:val="20"/>
        </w:rPr>
        <w:footnoteRef/>
      </w:r>
      <w:r w:rsidRPr="00E24029">
        <w:rPr>
          <w:sz w:val="20"/>
          <w:szCs w:val="20"/>
        </w:rPr>
        <w:t xml:space="preserve"> Associate Professor Holmes specialises in the relationship between nutrition, gut microbiome and health and is the Microbiome Project node leader in the Charles Perkins Centre, and Co-leader of the Food for Health theme of the Centre for Advanced Food Enginomics at the University of Sydney. </w:t>
      </w:r>
    </w:p>
    <w:p w14:paraId="4F498137" w14:textId="77777777" w:rsidR="009D1CB9" w:rsidRPr="00E24029" w:rsidRDefault="009D1CB9" w:rsidP="006E4BCA">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148D" w14:textId="54DC5D3F" w:rsidR="0087524E" w:rsidRDefault="0087524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3D4C80"/>
    <w:multiLevelType w:val="hybridMultilevel"/>
    <w:tmpl w:val="5400D9A6"/>
    <w:lvl w:ilvl="0" w:tplc="5A921928">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4C7A"/>
    <w:multiLevelType w:val="hybridMultilevel"/>
    <w:tmpl w:val="665C606C"/>
    <w:lvl w:ilvl="0" w:tplc="39CA8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A7352E"/>
    <w:multiLevelType w:val="hybridMultilevel"/>
    <w:tmpl w:val="8C0A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85098F"/>
    <w:multiLevelType w:val="hybridMultilevel"/>
    <w:tmpl w:val="DAC6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A65C72"/>
    <w:multiLevelType w:val="hybridMultilevel"/>
    <w:tmpl w:val="BA666324"/>
    <w:lvl w:ilvl="0" w:tplc="2EC6D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A6DCC"/>
    <w:multiLevelType w:val="hybridMultilevel"/>
    <w:tmpl w:val="759C77DE"/>
    <w:lvl w:ilvl="0" w:tplc="03567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826A5"/>
    <w:multiLevelType w:val="hybridMultilevel"/>
    <w:tmpl w:val="67908B82"/>
    <w:lvl w:ilvl="0" w:tplc="74ECDDF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A056462"/>
    <w:multiLevelType w:val="hybridMultilevel"/>
    <w:tmpl w:val="E514ABA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CBD36CE"/>
    <w:multiLevelType w:val="hybridMultilevel"/>
    <w:tmpl w:val="2BACED04"/>
    <w:lvl w:ilvl="0" w:tplc="65865B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1F2F2F"/>
    <w:multiLevelType w:val="hybridMultilevel"/>
    <w:tmpl w:val="BA666324"/>
    <w:lvl w:ilvl="0" w:tplc="2EC6D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8633F"/>
    <w:multiLevelType w:val="hybridMultilevel"/>
    <w:tmpl w:val="7DCEEBE4"/>
    <w:lvl w:ilvl="0" w:tplc="39CA83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F742E1"/>
    <w:multiLevelType w:val="hybridMultilevel"/>
    <w:tmpl w:val="87FAE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61F07"/>
    <w:multiLevelType w:val="hybridMultilevel"/>
    <w:tmpl w:val="457C1E98"/>
    <w:lvl w:ilvl="0" w:tplc="0C090017">
      <w:start w:val="1"/>
      <w:numFmt w:val="lowerLetter"/>
      <w:lvlText w:val="%1)"/>
      <w:lvlJc w:val="left"/>
      <w:pPr>
        <w:ind w:left="360" w:hanging="360"/>
      </w:pPr>
      <w:rPr>
        <w:rFonts w:hint="default"/>
      </w:rPr>
    </w:lvl>
    <w:lvl w:ilvl="1" w:tplc="0D4EC234">
      <w:start w:val="1"/>
      <w:numFmt w:val="lowerRoman"/>
      <w:lvlText w:val="%2."/>
      <w:lvlJc w:val="left"/>
      <w:pPr>
        <w:ind w:left="1080" w:hanging="360"/>
      </w:pPr>
      <w:rPr>
        <w:rFonts w:ascii="Arial" w:eastAsiaTheme="minorHAnsi" w:hAnsi="Arial" w:cstheme="minorBidi"/>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0E6819"/>
    <w:multiLevelType w:val="hybridMultilevel"/>
    <w:tmpl w:val="CB36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026E4"/>
    <w:multiLevelType w:val="hybridMultilevel"/>
    <w:tmpl w:val="D8EE9E38"/>
    <w:lvl w:ilvl="0" w:tplc="063EF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B73655"/>
    <w:multiLevelType w:val="hybridMultilevel"/>
    <w:tmpl w:val="42563AF2"/>
    <w:lvl w:ilvl="0" w:tplc="B92AF9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15:restartNumberingAfterBreak="0">
    <w:nsid w:val="71B04E67"/>
    <w:multiLevelType w:val="hybridMultilevel"/>
    <w:tmpl w:val="3ED8361E"/>
    <w:lvl w:ilvl="0" w:tplc="1E726C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2C3D25"/>
    <w:multiLevelType w:val="hybridMultilevel"/>
    <w:tmpl w:val="FFB6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613F8"/>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15:restartNumberingAfterBreak="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2"/>
  </w:num>
  <w:num w:numId="3">
    <w:abstractNumId w:val="1"/>
  </w:num>
  <w:num w:numId="4">
    <w:abstractNumId w:val="18"/>
  </w:num>
  <w:num w:numId="5">
    <w:abstractNumId w:val="3"/>
  </w:num>
  <w:num w:numId="6">
    <w:abstractNumId w:val="23"/>
  </w:num>
  <w:num w:numId="7">
    <w:abstractNumId w:val="4"/>
  </w:num>
  <w:num w:numId="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2"/>
  </w:num>
  <w:num w:numId="11">
    <w:abstractNumId w:val="25"/>
  </w:num>
  <w:num w:numId="12">
    <w:abstractNumId w:val="2"/>
  </w:num>
  <w:num w:numId="13">
    <w:abstractNumId w:val="5"/>
  </w:num>
  <w:num w:numId="14">
    <w:abstractNumId w:val="8"/>
  </w:num>
  <w:num w:numId="15">
    <w:abstractNumId w:val="21"/>
  </w:num>
  <w:num w:numId="16">
    <w:abstractNumId w:val="9"/>
  </w:num>
  <w:num w:numId="17">
    <w:abstractNumId w:val="0"/>
  </w:num>
  <w:num w:numId="18">
    <w:abstractNumId w:val="10"/>
  </w:num>
  <w:num w:numId="19">
    <w:abstractNumId w:val="11"/>
  </w:num>
  <w:num w:numId="20">
    <w:abstractNumId w:val="24"/>
  </w:num>
  <w:num w:numId="21">
    <w:abstractNumId w:val="17"/>
  </w:num>
  <w:num w:numId="22">
    <w:abstractNumId w:val="6"/>
  </w:num>
  <w:num w:numId="23">
    <w:abstractNumId w:val="19"/>
  </w:num>
  <w:num w:numId="24">
    <w:abstractNumId w:val="16"/>
  </w:num>
  <w:num w:numId="25">
    <w:abstractNumId w:val="20"/>
  </w:num>
  <w:num w:numId="26">
    <w:abstractNumId w:val="7"/>
  </w:num>
  <w:num w:numId="27">
    <w:abstractNumId w:val="15"/>
  </w:num>
  <w:num w:numId="28">
    <w:abstractNumId w:val="6"/>
  </w:num>
  <w:num w:numId="29">
    <w:abstractNumId w:val="6"/>
  </w:num>
  <w:num w:numId="30">
    <w:abstractNumId w:val="6"/>
  </w:num>
  <w:num w:numId="31">
    <w:abstractNumId w:val="13"/>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08DB"/>
    <w:rsid w:val="00014B41"/>
    <w:rsid w:val="00030564"/>
    <w:rsid w:val="00034702"/>
    <w:rsid w:val="000354E8"/>
    <w:rsid w:val="00035FF3"/>
    <w:rsid w:val="00043A08"/>
    <w:rsid w:val="00047B19"/>
    <w:rsid w:val="00051021"/>
    <w:rsid w:val="00051ED9"/>
    <w:rsid w:val="00057181"/>
    <w:rsid w:val="00061B2B"/>
    <w:rsid w:val="00062A01"/>
    <w:rsid w:val="0006473A"/>
    <w:rsid w:val="00064B2D"/>
    <w:rsid w:val="00065F1F"/>
    <w:rsid w:val="00067DEF"/>
    <w:rsid w:val="00070EF0"/>
    <w:rsid w:val="00076D33"/>
    <w:rsid w:val="00077189"/>
    <w:rsid w:val="00077870"/>
    <w:rsid w:val="000843AE"/>
    <w:rsid w:val="00086F81"/>
    <w:rsid w:val="00092CDA"/>
    <w:rsid w:val="000A0B42"/>
    <w:rsid w:val="000A1AF4"/>
    <w:rsid w:val="000A27E9"/>
    <w:rsid w:val="000A3D8B"/>
    <w:rsid w:val="000A4E7E"/>
    <w:rsid w:val="000A4F35"/>
    <w:rsid w:val="000A5DF8"/>
    <w:rsid w:val="000A5FAA"/>
    <w:rsid w:val="000B0194"/>
    <w:rsid w:val="000B0F0C"/>
    <w:rsid w:val="000B2E9C"/>
    <w:rsid w:val="000B6AF2"/>
    <w:rsid w:val="000D11BB"/>
    <w:rsid w:val="000D6FD4"/>
    <w:rsid w:val="000E0AE4"/>
    <w:rsid w:val="000E3DBC"/>
    <w:rsid w:val="000F48C1"/>
    <w:rsid w:val="000F5D35"/>
    <w:rsid w:val="00102B9F"/>
    <w:rsid w:val="00113A1C"/>
    <w:rsid w:val="00113CE3"/>
    <w:rsid w:val="00117522"/>
    <w:rsid w:val="00120BF8"/>
    <w:rsid w:val="00142327"/>
    <w:rsid w:val="0014404C"/>
    <w:rsid w:val="0015011B"/>
    <w:rsid w:val="001542D8"/>
    <w:rsid w:val="00163143"/>
    <w:rsid w:val="0016416B"/>
    <w:rsid w:val="0016709C"/>
    <w:rsid w:val="00180C41"/>
    <w:rsid w:val="00182C4C"/>
    <w:rsid w:val="00185417"/>
    <w:rsid w:val="00197D8D"/>
    <w:rsid w:val="001A1A75"/>
    <w:rsid w:val="001A5902"/>
    <w:rsid w:val="001A7E9A"/>
    <w:rsid w:val="001B6430"/>
    <w:rsid w:val="001C02AF"/>
    <w:rsid w:val="001C27A3"/>
    <w:rsid w:val="001C2A7B"/>
    <w:rsid w:val="001C5295"/>
    <w:rsid w:val="001D0BE8"/>
    <w:rsid w:val="001D15FB"/>
    <w:rsid w:val="001D42A4"/>
    <w:rsid w:val="001D6F0D"/>
    <w:rsid w:val="001D7A41"/>
    <w:rsid w:val="001E09FA"/>
    <w:rsid w:val="001E0DB4"/>
    <w:rsid w:val="001E3E92"/>
    <w:rsid w:val="001F5FE7"/>
    <w:rsid w:val="00203540"/>
    <w:rsid w:val="002065DC"/>
    <w:rsid w:val="0021612B"/>
    <w:rsid w:val="0022083A"/>
    <w:rsid w:val="00221D07"/>
    <w:rsid w:val="002244D4"/>
    <w:rsid w:val="00227E4A"/>
    <w:rsid w:val="00230174"/>
    <w:rsid w:val="002333A6"/>
    <w:rsid w:val="002348E6"/>
    <w:rsid w:val="002449F2"/>
    <w:rsid w:val="0024582E"/>
    <w:rsid w:val="00245C56"/>
    <w:rsid w:val="002526AC"/>
    <w:rsid w:val="002542D7"/>
    <w:rsid w:val="002547EF"/>
    <w:rsid w:val="00256D65"/>
    <w:rsid w:val="0026719E"/>
    <w:rsid w:val="002719AA"/>
    <w:rsid w:val="00271F00"/>
    <w:rsid w:val="00272431"/>
    <w:rsid w:val="002732D4"/>
    <w:rsid w:val="00273A80"/>
    <w:rsid w:val="002754B3"/>
    <w:rsid w:val="0029204E"/>
    <w:rsid w:val="002946F0"/>
    <w:rsid w:val="00294E47"/>
    <w:rsid w:val="0029631C"/>
    <w:rsid w:val="0029694B"/>
    <w:rsid w:val="002A0194"/>
    <w:rsid w:val="002A2C8E"/>
    <w:rsid w:val="002A3314"/>
    <w:rsid w:val="002A5E63"/>
    <w:rsid w:val="002A5F8B"/>
    <w:rsid w:val="002A7F6C"/>
    <w:rsid w:val="002B4735"/>
    <w:rsid w:val="002C00CD"/>
    <w:rsid w:val="002C32EB"/>
    <w:rsid w:val="002D6809"/>
    <w:rsid w:val="002E0AD8"/>
    <w:rsid w:val="002E4CF2"/>
    <w:rsid w:val="002F6488"/>
    <w:rsid w:val="00300023"/>
    <w:rsid w:val="003001A8"/>
    <w:rsid w:val="00320839"/>
    <w:rsid w:val="003213F9"/>
    <w:rsid w:val="00323DBF"/>
    <w:rsid w:val="00326445"/>
    <w:rsid w:val="00326D85"/>
    <w:rsid w:val="003309A8"/>
    <w:rsid w:val="00332215"/>
    <w:rsid w:val="00332B12"/>
    <w:rsid w:val="003348AB"/>
    <w:rsid w:val="00337217"/>
    <w:rsid w:val="00345B50"/>
    <w:rsid w:val="00351650"/>
    <w:rsid w:val="00351B07"/>
    <w:rsid w:val="00352CF2"/>
    <w:rsid w:val="00361401"/>
    <w:rsid w:val="0036199A"/>
    <w:rsid w:val="00364589"/>
    <w:rsid w:val="00364841"/>
    <w:rsid w:val="00371B29"/>
    <w:rsid w:val="0037656B"/>
    <w:rsid w:val="00381E88"/>
    <w:rsid w:val="00384E0F"/>
    <w:rsid w:val="0038725F"/>
    <w:rsid w:val="003914B3"/>
    <w:rsid w:val="00391769"/>
    <w:rsid w:val="003953E1"/>
    <w:rsid w:val="003956B3"/>
    <w:rsid w:val="003A4B26"/>
    <w:rsid w:val="003A68BE"/>
    <w:rsid w:val="003B1805"/>
    <w:rsid w:val="003B35E0"/>
    <w:rsid w:val="003B3C9D"/>
    <w:rsid w:val="003B3E6B"/>
    <w:rsid w:val="003B78E0"/>
    <w:rsid w:val="003C1ADA"/>
    <w:rsid w:val="003C36C8"/>
    <w:rsid w:val="003C4969"/>
    <w:rsid w:val="003C6F9D"/>
    <w:rsid w:val="003D28B8"/>
    <w:rsid w:val="003E41D5"/>
    <w:rsid w:val="003E46BA"/>
    <w:rsid w:val="003E7D22"/>
    <w:rsid w:val="003F11F3"/>
    <w:rsid w:val="003F20A6"/>
    <w:rsid w:val="003F74C1"/>
    <w:rsid w:val="00402636"/>
    <w:rsid w:val="00405B1A"/>
    <w:rsid w:val="00410C76"/>
    <w:rsid w:val="00411907"/>
    <w:rsid w:val="00413CA8"/>
    <w:rsid w:val="00417EE3"/>
    <w:rsid w:val="004207EB"/>
    <w:rsid w:val="00437276"/>
    <w:rsid w:val="004423F2"/>
    <w:rsid w:val="00453733"/>
    <w:rsid w:val="00456B54"/>
    <w:rsid w:val="00462A1C"/>
    <w:rsid w:val="00464643"/>
    <w:rsid w:val="00473DC7"/>
    <w:rsid w:val="0047472A"/>
    <w:rsid w:val="00485929"/>
    <w:rsid w:val="00486793"/>
    <w:rsid w:val="00486BC5"/>
    <w:rsid w:val="0049167B"/>
    <w:rsid w:val="0049573E"/>
    <w:rsid w:val="004A18AF"/>
    <w:rsid w:val="004A196C"/>
    <w:rsid w:val="004A2037"/>
    <w:rsid w:val="004A5975"/>
    <w:rsid w:val="004C2CE7"/>
    <w:rsid w:val="004D2B47"/>
    <w:rsid w:val="004F40AB"/>
    <w:rsid w:val="004F4256"/>
    <w:rsid w:val="004F4F98"/>
    <w:rsid w:val="004F5257"/>
    <w:rsid w:val="004F69F6"/>
    <w:rsid w:val="004F79AC"/>
    <w:rsid w:val="005017CF"/>
    <w:rsid w:val="005031D6"/>
    <w:rsid w:val="00506490"/>
    <w:rsid w:val="005207D8"/>
    <w:rsid w:val="00521D34"/>
    <w:rsid w:val="00522B1F"/>
    <w:rsid w:val="005262CA"/>
    <w:rsid w:val="00531B96"/>
    <w:rsid w:val="00534253"/>
    <w:rsid w:val="0053464E"/>
    <w:rsid w:val="0054272D"/>
    <w:rsid w:val="00547C5D"/>
    <w:rsid w:val="00556FFF"/>
    <w:rsid w:val="005611DB"/>
    <w:rsid w:val="00562917"/>
    <w:rsid w:val="005647B6"/>
    <w:rsid w:val="005760E5"/>
    <w:rsid w:val="0057615C"/>
    <w:rsid w:val="00586228"/>
    <w:rsid w:val="005A1D97"/>
    <w:rsid w:val="005A58F3"/>
    <w:rsid w:val="005A6A45"/>
    <w:rsid w:val="005A7BCB"/>
    <w:rsid w:val="005B6AF4"/>
    <w:rsid w:val="005B7A73"/>
    <w:rsid w:val="005C04CB"/>
    <w:rsid w:val="005C4FD8"/>
    <w:rsid w:val="005C606A"/>
    <w:rsid w:val="005D16AD"/>
    <w:rsid w:val="005D4AB7"/>
    <w:rsid w:val="005D4C6E"/>
    <w:rsid w:val="005D72E1"/>
    <w:rsid w:val="005E58C6"/>
    <w:rsid w:val="005E6E16"/>
    <w:rsid w:val="005F37F3"/>
    <w:rsid w:val="005F400E"/>
    <w:rsid w:val="005F6DFA"/>
    <w:rsid w:val="005F7342"/>
    <w:rsid w:val="0060268D"/>
    <w:rsid w:val="00603A08"/>
    <w:rsid w:val="00610A3C"/>
    <w:rsid w:val="00624835"/>
    <w:rsid w:val="00627F48"/>
    <w:rsid w:val="00630C23"/>
    <w:rsid w:val="006337AC"/>
    <w:rsid w:val="00633FCF"/>
    <w:rsid w:val="006460AB"/>
    <w:rsid w:val="00647775"/>
    <w:rsid w:val="00653123"/>
    <w:rsid w:val="00663FCF"/>
    <w:rsid w:val="00664823"/>
    <w:rsid w:val="006652A2"/>
    <w:rsid w:val="006663F6"/>
    <w:rsid w:val="00673D19"/>
    <w:rsid w:val="00683E98"/>
    <w:rsid w:val="00690206"/>
    <w:rsid w:val="006937FF"/>
    <w:rsid w:val="00697777"/>
    <w:rsid w:val="006A48A7"/>
    <w:rsid w:val="006B4BA1"/>
    <w:rsid w:val="006B5EBE"/>
    <w:rsid w:val="006C5CF5"/>
    <w:rsid w:val="006C64F7"/>
    <w:rsid w:val="006D7989"/>
    <w:rsid w:val="006E4BCA"/>
    <w:rsid w:val="006F2FCF"/>
    <w:rsid w:val="006F4A82"/>
    <w:rsid w:val="006F4E5E"/>
    <w:rsid w:val="0070020B"/>
    <w:rsid w:val="0070373B"/>
    <w:rsid w:val="0070546A"/>
    <w:rsid w:val="007065DF"/>
    <w:rsid w:val="00706DA3"/>
    <w:rsid w:val="00712152"/>
    <w:rsid w:val="00721A66"/>
    <w:rsid w:val="00724FA4"/>
    <w:rsid w:val="00730800"/>
    <w:rsid w:val="007311A6"/>
    <w:rsid w:val="00733C4D"/>
    <w:rsid w:val="00743075"/>
    <w:rsid w:val="007517BF"/>
    <w:rsid w:val="007555BB"/>
    <w:rsid w:val="007602AA"/>
    <w:rsid w:val="007637D5"/>
    <w:rsid w:val="007643EC"/>
    <w:rsid w:val="007652EF"/>
    <w:rsid w:val="00772BDC"/>
    <w:rsid w:val="007742A1"/>
    <w:rsid w:val="00780792"/>
    <w:rsid w:val="00784073"/>
    <w:rsid w:val="00785246"/>
    <w:rsid w:val="007920B0"/>
    <w:rsid w:val="007961F4"/>
    <w:rsid w:val="00796562"/>
    <w:rsid w:val="007A0471"/>
    <w:rsid w:val="007A44B4"/>
    <w:rsid w:val="007A743B"/>
    <w:rsid w:val="007A7D3D"/>
    <w:rsid w:val="007B225D"/>
    <w:rsid w:val="007B569F"/>
    <w:rsid w:val="007C174F"/>
    <w:rsid w:val="007C1B7E"/>
    <w:rsid w:val="007C1C64"/>
    <w:rsid w:val="007D03EA"/>
    <w:rsid w:val="007E48BC"/>
    <w:rsid w:val="007E79F7"/>
    <w:rsid w:val="007F1EA4"/>
    <w:rsid w:val="007F3630"/>
    <w:rsid w:val="007F7A97"/>
    <w:rsid w:val="0080358E"/>
    <w:rsid w:val="008059A0"/>
    <w:rsid w:val="00807559"/>
    <w:rsid w:val="00807E8F"/>
    <w:rsid w:val="00812761"/>
    <w:rsid w:val="008164C6"/>
    <w:rsid w:val="00817977"/>
    <w:rsid w:val="00820988"/>
    <w:rsid w:val="00822C82"/>
    <w:rsid w:val="00840B82"/>
    <w:rsid w:val="008450BC"/>
    <w:rsid w:val="0085334B"/>
    <w:rsid w:val="00870214"/>
    <w:rsid w:val="00874A02"/>
    <w:rsid w:val="0087524E"/>
    <w:rsid w:val="00883910"/>
    <w:rsid w:val="00885C51"/>
    <w:rsid w:val="00885EB0"/>
    <w:rsid w:val="0089085D"/>
    <w:rsid w:val="00891F4B"/>
    <w:rsid w:val="0089264A"/>
    <w:rsid w:val="00893078"/>
    <w:rsid w:val="008938D3"/>
    <w:rsid w:val="00896B85"/>
    <w:rsid w:val="008A22BE"/>
    <w:rsid w:val="008A339E"/>
    <w:rsid w:val="008B2577"/>
    <w:rsid w:val="008B6AAB"/>
    <w:rsid w:val="008C1B36"/>
    <w:rsid w:val="008C258E"/>
    <w:rsid w:val="008C5470"/>
    <w:rsid w:val="008D0605"/>
    <w:rsid w:val="008D06C6"/>
    <w:rsid w:val="008D08E0"/>
    <w:rsid w:val="008D408D"/>
    <w:rsid w:val="008D5F33"/>
    <w:rsid w:val="008E3779"/>
    <w:rsid w:val="008E464B"/>
    <w:rsid w:val="008E6250"/>
    <w:rsid w:val="008F6184"/>
    <w:rsid w:val="00902AF6"/>
    <w:rsid w:val="00905A48"/>
    <w:rsid w:val="009119C3"/>
    <w:rsid w:val="009178FC"/>
    <w:rsid w:val="00917B32"/>
    <w:rsid w:val="00920041"/>
    <w:rsid w:val="00920249"/>
    <w:rsid w:val="00923E43"/>
    <w:rsid w:val="00924C80"/>
    <w:rsid w:val="00925219"/>
    <w:rsid w:val="009317D2"/>
    <w:rsid w:val="00932F14"/>
    <w:rsid w:val="00932F72"/>
    <w:rsid w:val="00937CB7"/>
    <w:rsid w:val="0094247F"/>
    <w:rsid w:val="00942D60"/>
    <w:rsid w:val="00944DE8"/>
    <w:rsid w:val="0096523B"/>
    <w:rsid w:val="00966EE3"/>
    <w:rsid w:val="00972AEC"/>
    <w:rsid w:val="00972D06"/>
    <w:rsid w:val="009904E1"/>
    <w:rsid w:val="00990716"/>
    <w:rsid w:val="009909DF"/>
    <w:rsid w:val="00990FEA"/>
    <w:rsid w:val="009A1A83"/>
    <w:rsid w:val="009A391C"/>
    <w:rsid w:val="009A50F2"/>
    <w:rsid w:val="009A7410"/>
    <w:rsid w:val="009B0AF2"/>
    <w:rsid w:val="009B6634"/>
    <w:rsid w:val="009B76B0"/>
    <w:rsid w:val="009D1CB9"/>
    <w:rsid w:val="009E0A61"/>
    <w:rsid w:val="009E2344"/>
    <w:rsid w:val="009E3010"/>
    <w:rsid w:val="009E31A5"/>
    <w:rsid w:val="009E6D00"/>
    <w:rsid w:val="009F007E"/>
    <w:rsid w:val="009F25D2"/>
    <w:rsid w:val="009F4182"/>
    <w:rsid w:val="009F7065"/>
    <w:rsid w:val="00A0196E"/>
    <w:rsid w:val="00A13C81"/>
    <w:rsid w:val="00A14C5F"/>
    <w:rsid w:val="00A21820"/>
    <w:rsid w:val="00A269D0"/>
    <w:rsid w:val="00A4175D"/>
    <w:rsid w:val="00A46F4C"/>
    <w:rsid w:val="00A53D43"/>
    <w:rsid w:val="00A543B2"/>
    <w:rsid w:val="00A56A32"/>
    <w:rsid w:val="00A56DC7"/>
    <w:rsid w:val="00A74FD1"/>
    <w:rsid w:val="00A77BFA"/>
    <w:rsid w:val="00A812B8"/>
    <w:rsid w:val="00A82D70"/>
    <w:rsid w:val="00A84041"/>
    <w:rsid w:val="00A84A58"/>
    <w:rsid w:val="00A9547C"/>
    <w:rsid w:val="00AA5C25"/>
    <w:rsid w:val="00AC5D93"/>
    <w:rsid w:val="00AD25DC"/>
    <w:rsid w:val="00AD326C"/>
    <w:rsid w:val="00AD349A"/>
    <w:rsid w:val="00AD69E1"/>
    <w:rsid w:val="00AE5863"/>
    <w:rsid w:val="00AF06FC"/>
    <w:rsid w:val="00AF3391"/>
    <w:rsid w:val="00AF387F"/>
    <w:rsid w:val="00AF5857"/>
    <w:rsid w:val="00AF7B6E"/>
    <w:rsid w:val="00B00E7F"/>
    <w:rsid w:val="00B03490"/>
    <w:rsid w:val="00B12F1E"/>
    <w:rsid w:val="00B173DA"/>
    <w:rsid w:val="00B17675"/>
    <w:rsid w:val="00B21DCC"/>
    <w:rsid w:val="00B2444D"/>
    <w:rsid w:val="00B25F37"/>
    <w:rsid w:val="00B37BF0"/>
    <w:rsid w:val="00B44422"/>
    <w:rsid w:val="00B46EA0"/>
    <w:rsid w:val="00B47B24"/>
    <w:rsid w:val="00B52FF0"/>
    <w:rsid w:val="00B56982"/>
    <w:rsid w:val="00B731D3"/>
    <w:rsid w:val="00B76F32"/>
    <w:rsid w:val="00B839A3"/>
    <w:rsid w:val="00B8526B"/>
    <w:rsid w:val="00B902BD"/>
    <w:rsid w:val="00BA24E2"/>
    <w:rsid w:val="00BB22B0"/>
    <w:rsid w:val="00BC04A8"/>
    <w:rsid w:val="00BC29F0"/>
    <w:rsid w:val="00BC45BF"/>
    <w:rsid w:val="00BD2A39"/>
    <w:rsid w:val="00BD2E80"/>
    <w:rsid w:val="00BE11B8"/>
    <w:rsid w:val="00BE1C93"/>
    <w:rsid w:val="00BF618B"/>
    <w:rsid w:val="00BF6782"/>
    <w:rsid w:val="00BF7213"/>
    <w:rsid w:val="00BF7FF0"/>
    <w:rsid w:val="00C02716"/>
    <w:rsid w:val="00C057F4"/>
    <w:rsid w:val="00C12502"/>
    <w:rsid w:val="00C160F9"/>
    <w:rsid w:val="00C1728B"/>
    <w:rsid w:val="00C30E56"/>
    <w:rsid w:val="00C351B4"/>
    <w:rsid w:val="00C36578"/>
    <w:rsid w:val="00C40AA5"/>
    <w:rsid w:val="00C442C9"/>
    <w:rsid w:val="00C46F70"/>
    <w:rsid w:val="00C476D0"/>
    <w:rsid w:val="00C507DD"/>
    <w:rsid w:val="00C55FAB"/>
    <w:rsid w:val="00C61AC1"/>
    <w:rsid w:val="00C632EC"/>
    <w:rsid w:val="00C643C5"/>
    <w:rsid w:val="00C74397"/>
    <w:rsid w:val="00C760A1"/>
    <w:rsid w:val="00C763B6"/>
    <w:rsid w:val="00C82BBF"/>
    <w:rsid w:val="00C836E3"/>
    <w:rsid w:val="00C86577"/>
    <w:rsid w:val="00C87FFB"/>
    <w:rsid w:val="00C92E07"/>
    <w:rsid w:val="00C94916"/>
    <w:rsid w:val="00C96868"/>
    <w:rsid w:val="00CA0416"/>
    <w:rsid w:val="00CA641D"/>
    <w:rsid w:val="00CB1CD3"/>
    <w:rsid w:val="00CB3735"/>
    <w:rsid w:val="00CB55D2"/>
    <w:rsid w:val="00CC1A1A"/>
    <w:rsid w:val="00CC560B"/>
    <w:rsid w:val="00CC75E2"/>
    <w:rsid w:val="00CC7C87"/>
    <w:rsid w:val="00CD46EB"/>
    <w:rsid w:val="00CD7EBF"/>
    <w:rsid w:val="00CE101E"/>
    <w:rsid w:val="00CE4C81"/>
    <w:rsid w:val="00CE63EE"/>
    <w:rsid w:val="00CE7656"/>
    <w:rsid w:val="00CF4B00"/>
    <w:rsid w:val="00CF68B1"/>
    <w:rsid w:val="00D01680"/>
    <w:rsid w:val="00D03DF2"/>
    <w:rsid w:val="00D056F1"/>
    <w:rsid w:val="00D11171"/>
    <w:rsid w:val="00D20EFA"/>
    <w:rsid w:val="00D22F3C"/>
    <w:rsid w:val="00D23DB6"/>
    <w:rsid w:val="00D25D3E"/>
    <w:rsid w:val="00D31D00"/>
    <w:rsid w:val="00D40D54"/>
    <w:rsid w:val="00D43FE6"/>
    <w:rsid w:val="00D47801"/>
    <w:rsid w:val="00D519FC"/>
    <w:rsid w:val="00D51A95"/>
    <w:rsid w:val="00D521C6"/>
    <w:rsid w:val="00D60568"/>
    <w:rsid w:val="00D608BE"/>
    <w:rsid w:val="00D61629"/>
    <w:rsid w:val="00D675AA"/>
    <w:rsid w:val="00D70C7A"/>
    <w:rsid w:val="00D71311"/>
    <w:rsid w:val="00D71510"/>
    <w:rsid w:val="00D76303"/>
    <w:rsid w:val="00D81D38"/>
    <w:rsid w:val="00D82563"/>
    <w:rsid w:val="00D836AD"/>
    <w:rsid w:val="00D91A9C"/>
    <w:rsid w:val="00D9620E"/>
    <w:rsid w:val="00D96879"/>
    <w:rsid w:val="00DA10A8"/>
    <w:rsid w:val="00DB1E08"/>
    <w:rsid w:val="00DB2973"/>
    <w:rsid w:val="00DB75F9"/>
    <w:rsid w:val="00DC1B56"/>
    <w:rsid w:val="00DC2129"/>
    <w:rsid w:val="00DC3063"/>
    <w:rsid w:val="00DC5BCC"/>
    <w:rsid w:val="00DC6570"/>
    <w:rsid w:val="00DD0B8A"/>
    <w:rsid w:val="00DD3C5E"/>
    <w:rsid w:val="00DD7EDC"/>
    <w:rsid w:val="00DE3933"/>
    <w:rsid w:val="00DE459D"/>
    <w:rsid w:val="00DF1B8F"/>
    <w:rsid w:val="00DF25C3"/>
    <w:rsid w:val="00DF2A7B"/>
    <w:rsid w:val="00DF3177"/>
    <w:rsid w:val="00DF789D"/>
    <w:rsid w:val="00E00DF0"/>
    <w:rsid w:val="00E04062"/>
    <w:rsid w:val="00E063C6"/>
    <w:rsid w:val="00E066BA"/>
    <w:rsid w:val="00E13CBA"/>
    <w:rsid w:val="00E17C02"/>
    <w:rsid w:val="00E2003B"/>
    <w:rsid w:val="00E203C2"/>
    <w:rsid w:val="00E23A25"/>
    <w:rsid w:val="00E279D8"/>
    <w:rsid w:val="00E319B1"/>
    <w:rsid w:val="00E44350"/>
    <w:rsid w:val="00E44D49"/>
    <w:rsid w:val="00E44E0D"/>
    <w:rsid w:val="00E46F97"/>
    <w:rsid w:val="00E503FF"/>
    <w:rsid w:val="00E523AA"/>
    <w:rsid w:val="00E526E2"/>
    <w:rsid w:val="00E5492F"/>
    <w:rsid w:val="00E54CF0"/>
    <w:rsid w:val="00E55887"/>
    <w:rsid w:val="00E56B44"/>
    <w:rsid w:val="00E605EA"/>
    <w:rsid w:val="00E6232D"/>
    <w:rsid w:val="00E627DD"/>
    <w:rsid w:val="00E62DEF"/>
    <w:rsid w:val="00E70A86"/>
    <w:rsid w:val="00E777EC"/>
    <w:rsid w:val="00E80FCD"/>
    <w:rsid w:val="00EA7AF5"/>
    <w:rsid w:val="00EA7F2F"/>
    <w:rsid w:val="00EB40BA"/>
    <w:rsid w:val="00EB46DC"/>
    <w:rsid w:val="00EC00DE"/>
    <w:rsid w:val="00EC30E1"/>
    <w:rsid w:val="00EC71AE"/>
    <w:rsid w:val="00ED172A"/>
    <w:rsid w:val="00ED425B"/>
    <w:rsid w:val="00ED76DB"/>
    <w:rsid w:val="00EE4E86"/>
    <w:rsid w:val="00EE6D21"/>
    <w:rsid w:val="00EE787D"/>
    <w:rsid w:val="00EF1F1F"/>
    <w:rsid w:val="00EF6933"/>
    <w:rsid w:val="00EF7A2F"/>
    <w:rsid w:val="00F07450"/>
    <w:rsid w:val="00F11F6C"/>
    <w:rsid w:val="00F14BEC"/>
    <w:rsid w:val="00F1751C"/>
    <w:rsid w:val="00F225C5"/>
    <w:rsid w:val="00F2587A"/>
    <w:rsid w:val="00F31BD2"/>
    <w:rsid w:val="00F34CB8"/>
    <w:rsid w:val="00F3715D"/>
    <w:rsid w:val="00F378E0"/>
    <w:rsid w:val="00F420C8"/>
    <w:rsid w:val="00F42A4C"/>
    <w:rsid w:val="00F42DC8"/>
    <w:rsid w:val="00F522B2"/>
    <w:rsid w:val="00F5338B"/>
    <w:rsid w:val="00F5641E"/>
    <w:rsid w:val="00F604DE"/>
    <w:rsid w:val="00F6276F"/>
    <w:rsid w:val="00F63F03"/>
    <w:rsid w:val="00F73381"/>
    <w:rsid w:val="00F8105D"/>
    <w:rsid w:val="00F85EAC"/>
    <w:rsid w:val="00F86EEB"/>
    <w:rsid w:val="00F969B6"/>
    <w:rsid w:val="00FB7512"/>
    <w:rsid w:val="00FC190F"/>
    <w:rsid w:val="00FD7547"/>
    <w:rsid w:val="00FE7893"/>
    <w:rsid w:val="00FF1E63"/>
    <w:rsid w:val="00FF496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2A57F9"/>
  <w15:docId w15:val="{0299CEBA-E2B0-48BD-A0C5-3ED630FD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B46DC"/>
    <w:pPr>
      <w:keepNext/>
      <w:keepLines/>
      <w:spacing w:before="240" w:after="240"/>
      <w:outlineLvl w:val="1"/>
    </w:pPr>
    <w:rPr>
      <w:rFonts w:cs="Arial"/>
      <w:b/>
      <w:bCs/>
      <w:sz w:val="28"/>
      <w:szCs w:val="22"/>
      <w:lang w:val="en-AU" w:bidi="ar-SA"/>
    </w:rPr>
  </w:style>
  <w:style w:type="paragraph" w:styleId="Heading3">
    <w:name w:val="heading 3"/>
    <w:aliases w:val="FSHeading 3,Subheading 1"/>
    <w:basedOn w:val="Normal"/>
    <w:next w:val="Normal"/>
    <w:link w:val="Heading3Char"/>
    <w:autoRedefine/>
    <w:uiPriority w:val="9"/>
    <w:unhideWhenUsed/>
    <w:qFormat/>
    <w:rsid w:val="00AF5857"/>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F5857"/>
    <w:pPr>
      <w:keepNext/>
      <w:spacing w:before="240" w:after="240"/>
      <w:ind w:left="567" w:hanging="567"/>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B46DC"/>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9"/>
    <w:rsid w:val="00AF585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F5857"/>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D03DF2"/>
    <w:pPr>
      <w:widowControl/>
      <w:ind w:left="720"/>
      <w:contextualSpacing/>
    </w:pPr>
    <w:rPr>
      <w:rFonts w:eastAsiaTheme="minorHAnsi" w:cstheme="minorBidi"/>
      <w:szCs w:val="22"/>
      <w:lang w:bidi="ar-SA"/>
    </w:rPr>
  </w:style>
  <w:style w:type="paragraph" w:customStyle="1" w:styleId="Bullet">
    <w:name w:val="Bullet"/>
    <w:basedOn w:val="Normal"/>
    <w:rsid w:val="004A196C"/>
    <w:pPr>
      <w:numPr>
        <w:numId w:val="8"/>
      </w:numPr>
      <w:tabs>
        <w:tab w:val="clear" w:pos="577"/>
      </w:tabs>
      <w:ind w:left="567" w:hanging="567"/>
    </w:pPr>
    <w:rPr>
      <w:rFonts w:ascii="Times New Roman" w:hAnsi="Times New Roman"/>
      <w:sz w:val="24"/>
      <w:lang w:bidi="ar-SA"/>
    </w:rPr>
  </w:style>
  <w:style w:type="character" w:customStyle="1" w:styleId="FootnoteTextChar">
    <w:name w:val="Footnote Text Char"/>
    <w:aliases w:val="FSFootnote Text Char,Footnotes Text Char,FSFootnotes Text Char"/>
    <w:basedOn w:val="DefaultParagraphFont"/>
    <w:link w:val="FootnoteText"/>
    <w:uiPriority w:val="5"/>
    <w:rsid w:val="00FF496E"/>
    <w:rPr>
      <w:rFonts w:ascii="Arial" w:hAnsi="Arial"/>
      <w:lang w:eastAsia="en-US" w:bidi="en-US"/>
    </w:rPr>
  </w:style>
  <w:style w:type="paragraph" w:styleId="CommentSubject">
    <w:name w:val="annotation subject"/>
    <w:basedOn w:val="CommentText"/>
    <w:next w:val="CommentText"/>
    <w:link w:val="CommentSubjectChar"/>
    <w:rsid w:val="00EB46DC"/>
    <w:rPr>
      <w:b/>
      <w:bCs/>
    </w:rPr>
  </w:style>
  <w:style w:type="character" w:customStyle="1" w:styleId="CommentSubjectChar">
    <w:name w:val="Comment Subject Char"/>
    <w:basedOn w:val="CommentTextChar"/>
    <w:link w:val="CommentSubject"/>
    <w:rsid w:val="00EB46DC"/>
    <w:rPr>
      <w:rFonts w:ascii="Arial" w:hAnsi="Arial"/>
      <w:b/>
      <w:bCs/>
      <w:lang w:eastAsia="en-US" w:bidi="en-US"/>
    </w:rPr>
  </w:style>
  <w:style w:type="paragraph" w:styleId="Revision">
    <w:name w:val="Revision"/>
    <w:hidden/>
    <w:uiPriority w:val="99"/>
    <w:semiHidden/>
    <w:rsid w:val="00EB46DC"/>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A1155</Related_x0020_project>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a41428b017d04df981d58ffdf035d7b8 xmlns="ec50576e-4a27-4780-a1e1-e59563bc70b8">
      <Terms xmlns="http://schemas.microsoft.com/office/infopath/2007/PartnerControls"/>
    </a41428b017d04df981d58ffdf035d7b8>
    <_dlc_DocIdPersistId xmlns="ff5de93e-c5e8-4efc-a1bd-21450292fcfe" xsi:nil="true"/>
    <_dlc_DocId xmlns="ff5de93e-c5e8-4efc-a1bd-21450292fcfe">X3VAMR3A5FUY-552-7601</_dlc_DocId>
    <_dlc_DocIdUrl xmlns="ff5de93e-c5e8-4efc-a1bd-21450292fcfe">
      <Url>http://teams/Sections/RAP/_layouts/15/DocIdRedir.aspx?ID=X3VAMR3A5FUY-552-7601</Url>
      <Description>X3VAMR3A5FUY-552-7601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DC85-A3B2-41A5-A525-EE44B41AC3C8}"/>
</file>

<file path=customXml/itemProps2.xml><?xml version="1.0" encoding="utf-8"?>
<ds:datastoreItem xmlns:ds="http://schemas.openxmlformats.org/officeDocument/2006/customXml" ds:itemID="{61D8E4E5-9421-4B5A-9BA8-AE2B4E101B09}"/>
</file>

<file path=customXml/itemProps3.xml><?xml version="1.0" encoding="utf-8"?>
<ds:datastoreItem xmlns:ds="http://schemas.openxmlformats.org/officeDocument/2006/customXml" ds:itemID="{E4B5E8D4-FD2E-4D79-A178-6D9D06C36B63}"/>
</file>

<file path=customXml/itemProps4.xml><?xml version="1.0" encoding="utf-8"?>
<ds:datastoreItem xmlns:ds="http://schemas.openxmlformats.org/officeDocument/2006/customXml" ds:itemID="{DC16DC85-A3B2-41A5-A525-EE44B41AC3C8}">
  <ds:schemaRefs>
    <ds:schemaRef ds:uri="http://www.w3.org/XML/1998/namespace"/>
    <ds:schemaRef ds:uri="ff5de93e-c5e8-4efc-a1bd-21450292fcf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c50576e-4a27-4780-a1e1-e59563bc70b8"/>
    <ds:schemaRef ds:uri="http://purl.org/dc/dcmitype/"/>
    <ds:schemaRef ds:uri="http://purl.org/dc/terms/"/>
  </ds:schemaRefs>
</ds:datastoreItem>
</file>

<file path=customXml/itemProps5.xml><?xml version="1.0" encoding="utf-8"?>
<ds:datastoreItem xmlns:ds="http://schemas.openxmlformats.org/officeDocument/2006/customXml" ds:itemID="{CA2E6C9C-7D70-4049-AAE0-AE8C6C82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C1C4EE-C9FA-4100-B648-ED56C8CC24B0}"/>
</file>

<file path=customXml/itemProps7.xml><?xml version="1.0" encoding="utf-8"?>
<ds:datastoreItem xmlns:ds="http://schemas.openxmlformats.org/officeDocument/2006/customXml" ds:itemID="{10DB6B69-7735-4E53-879B-1F6A0E9E5563}"/>
</file>

<file path=docProps/app.xml><?xml version="1.0" encoding="utf-8"?>
<Properties xmlns="http://schemas.openxmlformats.org/officeDocument/2006/extended-properties" xmlns:vt="http://schemas.openxmlformats.org/officeDocument/2006/docPropsVTypes">
  <Template>Normal</Template>
  <TotalTime>412</TotalTime>
  <Pages>9</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21584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duffyg</dc:creator>
  <cp:keywords/>
  <dc:description/>
  <cp:lastModifiedBy>CoughC</cp:lastModifiedBy>
  <cp:revision>13</cp:revision>
  <cp:lastPrinted>2019-10-28T06:20:00Z</cp:lastPrinted>
  <dcterms:created xsi:type="dcterms:W3CDTF">2019-11-18T03:01:00Z</dcterms:created>
  <dcterms:modified xsi:type="dcterms:W3CDTF">2019-12-19T23:33:00Z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5ef77bb1-1dfd-458e-aac7-b75bf218b089</vt:lpwstr>
  </property>
  <property fmtid="{D5CDD505-2E9C-101B-9397-08002B2CF9AE}" pid="5" name="SPPCopyMoveEvent">
    <vt:lpwstr>1</vt:lpwstr>
  </property>
  <property fmtid="{D5CDD505-2E9C-101B-9397-08002B2CF9AE}" pid="6" name="DisposalClass">
    <vt:lpwstr/>
  </property>
  <property fmtid="{D5CDD505-2E9C-101B-9397-08002B2CF9AE}" pid="7" name="docIndexRef">
    <vt:lpwstr>9af437c9-84ae-45a7-8db9-9292e589caff</vt:lpwstr>
  </property>
  <property fmtid="{D5CDD505-2E9C-101B-9397-08002B2CF9AE}" pid="8" name="bjSaver">
    <vt:lpwstr>FUphSSWQQG1oROw9hqflrb1rmlSRg0aB</vt:lpwstr>
  </property>
  <property fmtid="{D5CDD505-2E9C-101B-9397-08002B2CF9AE}" pid="9" name="RecordPoint_WorkflowType">
    <vt:lpwstr>ActiveSubmitStub</vt:lpwstr>
  </property>
  <property fmtid="{D5CDD505-2E9C-101B-9397-08002B2CF9AE}" pid="10" name="RecordPoint_ActiveItemListId">
    <vt:lpwstr>{fddf8b53-c3ea-46d5-a991-0de47619381a}</vt:lpwstr>
  </property>
  <property fmtid="{D5CDD505-2E9C-101B-9397-08002B2CF9AE}" pid="11" name="RecordPoint_ActiveItemUniqueId">
    <vt:lpwstr>{ce323839-2da9-4aad-8c46-b4282c458f66}</vt:lpwstr>
  </property>
  <property fmtid="{D5CDD505-2E9C-101B-9397-08002B2CF9AE}" pid="12" name="RecordPoint_ActiveItemWebId">
    <vt:lpwstr>{ce8aceb7-110d-4cd3-acd1-c9e45bc79768}</vt:lpwstr>
  </property>
  <property fmtid="{D5CDD505-2E9C-101B-9397-08002B2CF9AE}" pid="13" name="RecordPoint_ActiveItemSiteId">
    <vt:lpwstr>{dd95a578-5c6a-4f11-92f7-f95884d628d6}</vt:lpwstr>
  </property>
  <property fmtid="{D5CDD505-2E9C-101B-9397-08002B2CF9AE}" pid="14" name="RecordPoint_RecordNumberSubmitted">
    <vt:lpwstr>R0000115313</vt:lpwstr>
  </property>
  <property fmtid="{D5CDD505-2E9C-101B-9397-08002B2CF9AE}" pid="15" name="RecordPoint_SubmissionCompleted">
    <vt:lpwstr>2019-06-21T12:35:09.0168212+10:00</vt:lpwstr>
  </property>
  <property fmtid="{D5CDD505-2E9C-101B-9397-08002B2CF9AE}" pid="16" name="a41428b017d04df981d58ffdf035d7b8">
    <vt:lpwstr/>
  </property>
  <property fmtid="{D5CDD505-2E9C-101B-9397-08002B2CF9AE}" pid="17"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8" name="bjDocumentLabelXML-0">
    <vt:lpwstr>ames.com/2008/01/sie/internal/label"&gt;&lt;element uid="66ddac19-06c4-4e63-b4dd-d8240d87a23f" value="" /&gt;&lt;/sisl&gt;</vt:lpwstr>
  </property>
  <property fmtid="{D5CDD505-2E9C-101B-9397-08002B2CF9AE}" pid="19" name="bjDocumentSecurityLabel">
    <vt:lpwstr>NO SECURITY CLASSIFICATION REQUIRED</vt:lpwstr>
  </property>
</Properties>
</file>